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34" w:rsidRPr="006A3034" w:rsidRDefault="006A3034" w:rsidP="006A3034">
      <w:pPr>
        <w:adjustRightInd w:val="0"/>
        <w:snapToGrid w:val="0"/>
        <w:spacing w:line="560" w:lineRule="exact"/>
        <w:rPr>
          <w:rFonts w:eastAsia="方正小标宋简体"/>
          <w:snapToGrid w:val="0"/>
          <w:color w:val="000000"/>
          <w:kern w:val="0"/>
          <w:sz w:val="44"/>
          <w:szCs w:val="44"/>
        </w:rPr>
      </w:pPr>
      <w:bookmarkStart w:id="0" w:name="_GoBack"/>
      <w:bookmarkEnd w:id="0"/>
    </w:p>
    <w:p w:rsidR="006A3034" w:rsidRPr="006A3034" w:rsidRDefault="006A3034" w:rsidP="006A3034">
      <w:pPr>
        <w:adjustRightInd w:val="0"/>
        <w:snapToGrid w:val="0"/>
        <w:spacing w:line="560" w:lineRule="exact"/>
        <w:rPr>
          <w:rFonts w:eastAsia="方正小标宋简体"/>
          <w:snapToGrid w:val="0"/>
          <w:color w:val="000000"/>
          <w:kern w:val="0"/>
          <w:sz w:val="44"/>
          <w:szCs w:val="44"/>
        </w:rPr>
      </w:pPr>
    </w:p>
    <w:p w:rsidR="006A3034" w:rsidRPr="006A3034" w:rsidRDefault="006A3034" w:rsidP="006A3034">
      <w:pPr>
        <w:adjustRightInd w:val="0"/>
        <w:snapToGrid w:val="0"/>
        <w:spacing w:line="560" w:lineRule="exact"/>
        <w:rPr>
          <w:rFonts w:eastAsia="方正小标宋简体"/>
          <w:snapToGrid w:val="0"/>
          <w:color w:val="000000"/>
          <w:kern w:val="0"/>
          <w:sz w:val="44"/>
          <w:szCs w:val="44"/>
        </w:rPr>
      </w:pPr>
    </w:p>
    <w:p w:rsidR="006A3034" w:rsidRPr="006A3034" w:rsidRDefault="006A3034" w:rsidP="006A3034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Default="006A3034" w:rsidP="006A3034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kern w:val="0"/>
        </w:rPr>
      </w:pPr>
    </w:p>
    <w:p w:rsidR="006A3034" w:rsidRPr="006A3034" w:rsidRDefault="006A3034" w:rsidP="006A3034">
      <w:pPr>
        <w:widowControl/>
        <w:adjustRightInd w:val="0"/>
        <w:snapToGrid w:val="0"/>
        <w:spacing w:line="560" w:lineRule="exact"/>
        <w:jc w:val="left"/>
        <w:rPr>
          <w:snapToGrid w:val="0"/>
          <w:color w:val="000000"/>
          <w:sz w:val="20"/>
          <w:szCs w:val="20"/>
        </w:rPr>
      </w:pPr>
    </w:p>
    <w:p w:rsidR="006A3034" w:rsidRPr="006A3034" w:rsidRDefault="006A3034" w:rsidP="006A3034">
      <w:pPr>
        <w:adjustRightInd w:val="0"/>
        <w:snapToGrid w:val="0"/>
        <w:spacing w:line="560" w:lineRule="exact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穗教发〔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202</w:t>
      </w:r>
      <w:r w:rsidRPr="006A3034">
        <w:rPr>
          <w:rFonts w:eastAsia="仿宋_GB2312" w:hint="eastAsia"/>
          <w:snapToGrid w:val="0"/>
          <w:color w:val="000000"/>
          <w:kern w:val="0"/>
          <w:sz w:val="32"/>
          <w:szCs w:val="32"/>
        </w:rPr>
        <w:t>1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〕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40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号</w:t>
      </w:r>
    </w:p>
    <w:p w:rsidR="006A3034" w:rsidRPr="004F7A13" w:rsidRDefault="006A3034" w:rsidP="006A3034">
      <w:pPr>
        <w:adjustRightInd w:val="0"/>
        <w:snapToGrid w:val="0"/>
        <w:spacing w:line="700" w:lineRule="exact"/>
        <w:rPr>
          <w:rFonts w:eastAsia="方正小标宋简体"/>
          <w:snapToGrid w:val="0"/>
          <w:color w:val="000000"/>
          <w:kern w:val="0"/>
          <w:sz w:val="44"/>
          <w:szCs w:val="44"/>
        </w:rPr>
      </w:pPr>
    </w:p>
    <w:p w:rsidR="006A3034" w:rsidRDefault="006A3034" w:rsidP="006A3034">
      <w:pPr>
        <w:adjustRightInd w:val="0"/>
        <w:snapToGrid w:val="0"/>
        <w:spacing w:line="540" w:lineRule="exact"/>
        <w:jc w:val="center"/>
        <w:rPr>
          <w:rFonts w:eastAsia="方正小标宋_GBK"/>
          <w:snapToGrid w:val="0"/>
          <w:color w:val="000000"/>
          <w:kern w:val="0"/>
          <w:sz w:val="44"/>
          <w:szCs w:val="44"/>
          <w:lang w:bidi="ar"/>
        </w:rPr>
      </w:pPr>
      <w:r w:rsidRPr="006A3034">
        <w:rPr>
          <w:rFonts w:eastAsia="方正小标宋_GBK"/>
          <w:snapToGrid w:val="0"/>
          <w:color w:val="000000"/>
          <w:kern w:val="0"/>
          <w:sz w:val="44"/>
          <w:szCs w:val="44"/>
        </w:rPr>
        <w:t>广州市教育局关于印发</w:t>
      </w:r>
      <w:proofErr w:type="gramStart"/>
      <w:r w:rsidRPr="006A3034">
        <w:rPr>
          <w:rFonts w:eastAsia="方正小标宋_GBK"/>
          <w:snapToGrid w:val="0"/>
          <w:color w:val="000000"/>
          <w:kern w:val="0"/>
          <w:sz w:val="44"/>
          <w:szCs w:val="44"/>
        </w:rPr>
        <w:t>《</w:t>
      </w:r>
      <w:proofErr w:type="gramEnd"/>
      <w:r>
        <w:rPr>
          <w:rFonts w:eastAsia="方正小标宋_GBK"/>
          <w:snapToGrid w:val="0"/>
          <w:color w:val="000000"/>
          <w:kern w:val="0"/>
          <w:sz w:val="44"/>
          <w:szCs w:val="44"/>
          <w:lang w:bidi="ar"/>
        </w:rPr>
        <w:t>广州市中小学智慧</w:t>
      </w:r>
    </w:p>
    <w:p w:rsidR="006A3034" w:rsidRPr="004F7A13" w:rsidRDefault="006A3034" w:rsidP="006A3034">
      <w:pPr>
        <w:adjustRightInd w:val="0"/>
        <w:snapToGrid w:val="0"/>
        <w:spacing w:line="540" w:lineRule="exact"/>
        <w:jc w:val="center"/>
        <w:rPr>
          <w:rFonts w:eastAsia="方正小标宋_GBK"/>
          <w:snapToGrid w:val="0"/>
          <w:color w:val="000000"/>
          <w:kern w:val="0"/>
          <w:sz w:val="44"/>
          <w:szCs w:val="44"/>
        </w:rPr>
      </w:pPr>
      <w:r>
        <w:rPr>
          <w:rFonts w:eastAsia="方正小标宋_GBK"/>
          <w:snapToGrid w:val="0"/>
          <w:color w:val="000000"/>
          <w:kern w:val="0"/>
          <w:sz w:val="44"/>
          <w:szCs w:val="44"/>
          <w:lang w:bidi="ar"/>
        </w:rPr>
        <w:t>阅读普及工作方案</w:t>
      </w:r>
      <w:proofErr w:type="gramStart"/>
      <w:r w:rsidRPr="004F7A13">
        <w:rPr>
          <w:rFonts w:eastAsia="方正小标宋_GBK"/>
          <w:snapToGrid w:val="0"/>
          <w:color w:val="000000"/>
          <w:kern w:val="0"/>
          <w:sz w:val="44"/>
          <w:szCs w:val="44"/>
        </w:rPr>
        <w:t>》</w:t>
      </w:r>
      <w:proofErr w:type="gramEnd"/>
      <w:r w:rsidRPr="004F7A13">
        <w:rPr>
          <w:rFonts w:eastAsia="方正小标宋_GBK"/>
          <w:snapToGrid w:val="0"/>
          <w:color w:val="000000"/>
          <w:kern w:val="0"/>
          <w:sz w:val="44"/>
          <w:szCs w:val="44"/>
        </w:rPr>
        <w:t>的通知</w:t>
      </w:r>
    </w:p>
    <w:p w:rsidR="006A3034" w:rsidRPr="006A3034" w:rsidRDefault="006A3034" w:rsidP="006A3034">
      <w:pPr>
        <w:adjustRightInd w:val="0"/>
        <w:snapToGrid w:val="0"/>
        <w:spacing w:line="500" w:lineRule="exact"/>
        <w:rPr>
          <w:rFonts w:eastAsia="方正小标宋_GBK"/>
          <w:snapToGrid w:val="0"/>
          <w:color w:val="000000"/>
          <w:kern w:val="0"/>
          <w:sz w:val="44"/>
          <w:szCs w:val="44"/>
        </w:rPr>
      </w:pPr>
    </w:p>
    <w:p w:rsidR="006A3034" w:rsidRPr="006A3034" w:rsidRDefault="006A3034" w:rsidP="006A3034">
      <w:pPr>
        <w:adjustRightInd w:val="0"/>
        <w:snapToGrid w:val="0"/>
        <w:spacing w:line="50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各区教育局，局属各单位：</w:t>
      </w:r>
    </w:p>
    <w:p w:rsidR="006A3034" w:rsidRPr="006A3034" w:rsidRDefault="006A3034" w:rsidP="006A3034">
      <w:pPr>
        <w:adjustRightInd w:val="0"/>
        <w:snapToGrid w:val="0"/>
        <w:spacing w:line="500" w:lineRule="exac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</w:rPr>
        <w:t>根据中央宣传部《关于促进全民阅读工作的意见》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《广州市创建全国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智慧教育示范区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实施方案》</w:t>
      </w:r>
      <w:r>
        <w:rPr>
          <w:rFonts w:eastAsia="仿宋_GB2312"/>
          <w:snapToGrid w:val="0"/>
          <w:color w:val="000000"/>
          <w:kern w:val="0"/>
          <w:sz w:val="32"/>
        </w:rPr>
        <w:t>等文件要求，结合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十四五期间</w:t>
      </w:r>
      <w:r>
        <w:rPr>
          <w:rFonts w:eastAsia="仿宋_GB2312"/>
          <w:snapToGrid w:val="0"/>
          <w:color w:val="000000"/>
          <w:kern w:val="0"/>
          <w:sz w:val="32"/>
        </w:rPr>
        <w:t>广州市</w:t>
      </w:r>
      <w:r>
        <w:rPr>
          <w:rFonts w:eastAsia="仿宋_GB2312"/>
          <w:snapToGrid w:val="0"/>
          <w:color w:val="000000"/>
          <w:kern w:val="0"/>
          <w:sz w:val="32"/>
          <w:szCs w:val="28"/>
        </w:rPr>
        <w:t>教育信息化工作重点，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制定《广州市中小学智慧阅读普及工作方案》。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现印发给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你们，请认真组织落实。实施中遇到问题，请径向我局反映。</w:t>
      </w:r>
    </w:p>
    <w:p w:rsidR="006A3034" w:rsidRPr="006A3034" w:rsidRDefault="006A3034" w:rsidP="006A3034">
      <w:pPr>
        <w:adjustRightInd w:val="0"/>
        <w:snapToGrid w:val="0"/>
        <w:spacing w:line="50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Default="006A3034" w:rsidP="006A3034">
      <w:pPr>
        <w:adjustRightInd w:val="0"/>
        <w:snapToGrid w:val="0"/>
        <w:spacing w:line="50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Pr="004F7A13" w:rsidRDefault="006A3034" w:rsidP="006A3034">
      <w:pPr>
        <w:adjustRightInd w:val="0"/>
        <w:snapToGrid w:val="0"/>
        <w:spacing w:line="50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Pr="004F7A13" w:rsidRDefault="006A3034" w:rsidP="006A3034">
      <w:pPr>
        <w:adjustRightInd w:val="0"/>
        <w:snapToGrid w:val="0"/>
        <w:spacing w:line="500" w:lineRule="exact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                            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广州市教育局</w:t>
      </w:r>
    </w:p>
    <w:p w:rsidR="006A3034" w:rsidRPr="004F7A13" w:rsidRDefault="006A3034" w:rsidP="006A3034">
      <w:pPr>
        <w:adjustRightInd w:val="0"/>
        <w:snapToGrid w:val="0"/>
        <w:spacing w:line="500" w:lineRule="exact"/>
        <w:jc w:val="center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                            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2021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9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>1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日</w:t>
      </w:r>
    </w:p>
    <w:p w:rsidR="006A3034" w:rsidRDefault="006A3034" w:rsidP="006A3034">
      <w:pPr>
        <w:adjustRightInd w:val="0"/>
        <w:snapToGrid w:val="0"/>
        <w:spacing w:line="500" w:lineRule="exact"/>
        <w:jc w:val="left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   </w:t>
      </w:r>
      <w:r w:rsidRPr="004F7A13">
        <w:rPr>
          <w:rFonts w:eastAsia="仿宋_GB2312"/>
          <w:snapToGrid w:val="0"/>
          <w:color w:val="000000"/>
          <w:kern w:val="0"/>
          <w:sz w:val="32"/>
          <w:szCs w:val="32"/>
        </w:rPr>
        <w:t>（联系人：雷凤宇，联系电话：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22083726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）</w:t>
      </w:r>
    </w:p>
    <w:p w:rsidR="006A3034" w:rsidRPr="006A3034" w:rsidRDefault="006A3034" w:rsidP="006A3034">
      <w:pPr>
        <w:adjustRightInd w:val="0"/>
        <w:snapToGrid w:val="0"/>
        <w:spacing w:line="560" w:lineRule="exact"/>
        <w:jc w:val="center"/>
        <w:rPr>
          <w:rFonts w:eastAsia="方正小标宋_GBK"/>
          <w:snapToGrid w:val="0"/>
          <w:color w:val="000000"/>
          <w:kern w:val="0"/>
          <w:sz w:val="44"/>
          <w:szCs w:val="44"/>
          <w:lang w:bidi="ar"/>
        </w:rPr>
      </w:pPr>
      <w:r w:rsidRPr="006A3034">
        <w:rPr>
          <w:rFonts w:eastAsia="方正小标宋_GBK"/>
          <w:snapToGrid w:val="0"/>
          <w:color w:val="000000"/>
          <w:kern w:val="0"/>
          <w:sz w:val="44"/>
          <w:szCs w:val="44"/>
          <w:lang w:bidi="ar"/>
        </w:rPr>
        <w:t>广州市中小学智慧阅读普及工作方案</w:t>
      </w:r>
    </w:p>
    <w:p w:rsidR="006A3034" w:rsidRPr="006A3034" w:rsidRDefault="006A3034" w:rsidP="006A3034">
      <w:pPr>
        <w:adjustRightInd w:val="0"/>
        <w:snapToGrid w:val="0"/>
        <w:spacing w:line="560" w:lineRule="exact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</w:rPr>
      </w:pPr>
      <w:r w:rsidRPr="006A3034">
        <w:rPr>
          <w:rFonts w:eastAsia="仿宋_GB2312"/>
          <w:snapToGrid w:val="0"/>
          <w:color w:val="000000"/>
          <w:kern w:val="0"/>
          <w:sz w:val="32"/>
        </w:rPr>
        <w:t>根据中央宣传部《关于促进全民阅读工作的意见》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《广州市创建全国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智慧教育示范区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实施方案》</w:t>
      </w:r>
      <w:r w:rsidRPr="006A3034">
        <w:rPr>
          <w:rFonts w:eastAsia="仿宋_GB2312"/>
          <w:snapToGrid w:val="0"/>
          <w:color w:val="000000"/>
          <w:kern w:val="0"/>
          <w:sz w:val="32"/>
        </w:rPr>
        <w:t>等文件要求，结合</w:t>
      </w:r>
      <w:r w:rsidRPr="006A3034">
        <w:rPr>
          <w:rFonts w:eastAsia="仿宋_GB2312"/>
          <w:snapToGrid w:val="0"/>
          <w:color w:val="000000"/>
          <w:kern w:val="0"/>
          <w:sz w:val="32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十四五</w:t>
      </w:r>
      <w:r w:rsidRPr="006A3034">
        <w:rPr>
          <w:rFonts w:eastAsia="仿宋_GB2312"/>
          <w:snapToGrid w:val="0"/>
          <w:color w:val="000000"/>
          <w:kern w:val="0"/>
          <w:sz w:val="32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期间</w:t>
      </w:r>
      <w:r w:rsidRPr="006A3034">
        <w:rPr>
          <w:rFonts w:eastAsia="仿宋_GB2312"/>
          <w:snapToGrid w:val="0"/>
          <w:color w:val="000000"/>
          <w:kern w:val="0"/>
          <w:sz w:val="32"/>
        </w:rPr>
        <w:t>广州市</w:t>
      </w:r>
      <w:r w:rsidRPr="006A3034">
        <w:rPr>
          <w:rFonts w:eastAsia="仿宋_GB2312"/>
          <w:snapToGrid w:val="0"/>
          <w:color w:val="000000"/>
          <w:kern w:val="0"/>
          <w:sz w:val="32"/>
          <w:szCs w:val="28"/>
        </w:rPr>
        <w:t>教育信息化工作重点，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制定广州市中小学智慧阅读普及工作方案。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6A3034">
        <w:rPr>
          <w:rFonts w:eastAsia="黑体"/>
          <w:snapToGrid w:val="0"/>
          <w:color w:val="000000"/>
          <w:kern w:val="0"/>
          <w:sz w:val="32"/>
          <w:szCs w:val="32"/>
          <w:lang w:bidi="ar"/>
        </w:rPr>
        <w:t>一、总体要求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（一）重大意义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以习近平新时代中国特色社会主义思想为指导，落实立德树人根本任务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国家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双减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教育政策，基于大数据、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云计算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和人工智能等新一代信息技术，在全市小学普及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智慧阅读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，大力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营造爱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读书、读好书、善读书的良好氛围，培养终身阅读者，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推动形成广州市中小学良好的阅读生态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，打造书香校园，助推书香社会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（二）基本内涵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智慧阅读是引导学生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应用市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智慧阅读平台（含小程序、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APP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与网页版），结合兴趣爱好，开展以纸质书为主的阅读活动；学生基于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学科阅读课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，线上分享阅读心得，开展阅读素养测评，培养学生阅读习惯。通过阅读大数据监测，根据学生身心特点和能力倾向，推送个性化阅读资源。让学生阅读变得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可知、可导、可管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，提升学生阅读素养，打造人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—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书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—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网相融合的阅读生态。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（三）工作目标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在前期试点的基础上，面向全市义务教育阶段中小学生普及推广阅读活动，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推动基于智慧阅读的课堂教学改革，建设智慧阅读网络学习空间，将阅读素养纳入学生学业评价，组织丰富多彩的智慧阅读活动，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建立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全市学生阅读成长档案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阅读素养报告制度，开展学生智慧阅读大数据应用展示，发布年度阅读素养白皮书，提升学生综合素质，培养未来社会需要的创新型人才。到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2023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年，实现智慧阅读覆盖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全市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1000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所以上中小学，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打造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100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所智慧阅读样板校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，并向中等职业学校和外籍人员子女学校推广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黑体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黑体"/>
          <w:snapToGrid w:val="0"/>
          <w:color w:val="000000"/>
          <w:kern w:val="0"/>
          <w:sz w:val="32"/>
          <w:szCs w:val="32"/>
          <w:lang w:bidi="ar"/>
        </w:rPr>
        <w:t>二、工作任务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（一）开展基于智慧阅读的课堂教学改革。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市教育研究院指导区、校选取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50%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以上学科，每个学期选取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5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个以上课时，每月组织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1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次以上学科主题阅读活动，结合学科核心素养与知识，开发全科主题阅读探究课程，以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学科阅读课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的方式，推动基于智慧阅读的课堂教学改革，推广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课前泛读激趣，课中精读思考、分层深度学习、自主合作探究、阅读成果分享，课后推送个性化阅读资源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的六步教学法。引导学生围绕学习专题，分层开展阅读活动，辅以教师精细化指导，学生个性化阅读，实现阅读与教学相互促进，提升学生学习力。（牵头单位：市教育研究院、各区、校；配合单位：科研处、基础教育处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（二）建设智慧阅读网络学习空间。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推动市智慧阅读平台阅读空间（以下简称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智慧阅读空间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）与市智慧教育公共服务平台网络学习空间对接，覆盖全部学生，实现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一人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一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空间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。学科教师组织学生结合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学科阅读课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教学主题，组织学生上传阅读心得、书评、读后感、音视频等，逐步形成系统性的学生阅读成长档案。智慧阅读空间利用人工智能、物联网等技术，支持记录阅读内容、时长、频次，交流阅读心得，展示阅读成果，开展阅读素养测评，智能化推送个性化阅读资源。（牵头单位：市教育研究院、各区、校；配合单位：科研处、基础教育处、宣传与思想政治教育处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（三）组织开展丰富的智慧阅读活动。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面向全市学校每月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1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次开展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阅读小达人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活动，利用学生在校时间，通过社团活动、课后托管综合实践活动等，组织学生参加，激励学生完成阅读记录，强化阅读习惯。鼓励市、区、校结合读书节、阅读季、节假日、寒暑假等开展各专题阅读活动，寒暑假、开学第一周通过市教育局官网、公众号等渠道发布阅读书单。鼓励和引导学生增加阅读量，扩大阅读面，拓展阅读深度，营造阅读氛围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打造智慧阅读品牌活动。开展阅读相关展示和竞赛活动。（牵头单位：市教育研究院、各区、校；配合单位：科研处、基础教育处、宣传与思想政治教育处）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（四）建立学生阅读素养年度测评与报告制度。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结合智慧阅读课堂教学改革，全市每年组织一次义务教育阶段学生阅读素养测评，从基本信息理解、逻辑分析、知识创新、阅读鉴赏四个能力维度对学生的阅读能力进行评价，并结合测评结果为学生匹配难度级别相符的图书推荐，实现分级阅读。将阅读素养评价纳入智慧阳光评价和综合素质评价，为每个学生提供阅读素养年度报告，发布年度市智慧阅读白皮书，对各区和学校提出提升学生阅读素养的建议。（牵头单位：市教育研究院、各区、校；配合单位：科研处、基础教育处、宣传与思想政治教育处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（五）发挥智慧阅读辐射带动作用。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结合智慧阅读推广应用，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形成具有广州特色的阅读教育方案和实施模式，并在各区、各学校进行推广应用，进一步提升智慧阅读项目的质量和水平。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依托智慧阅读平台，组织开展智慧阅读同课异构活动，促进粤港澳大湾区城市群学生阅读能力共同提升。（牵头单位：科研处、市教育研究院）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黑体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黑体"/>
          <w:snapToGrid w:val="0"/>
          <w:color w:val="000000"/>
          <w:kern w:val="0"/>
          <w:sz w:val="32"/>
          <w:szCs w:val="32"/>
          <w:lang w:bidi="ar"/>
        </w:rPr>
        <w:t>三、主要措施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（一）加强智慧阅读优质资源供给。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市教育基建和装备中心建设市中小学图书资源管理平台，实现市、区、校各级图书管理系统阅读资源汇聚、互通。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市教育研究院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兼顾学生的全面阅读和深度阅读，有针对性地推送学科阅读书单、个性化阅读书单、主题阅读书单。市教育研究院开发阅读课程、主题阅读活动、阅读能力测评、基于阅读的课堂教学改革案例等相关资源。市电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化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教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育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馆统一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采购第三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方数字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图书馆、学术期刊等数字资源，并部署在市智慧教育公共服务平台。（牵头单位：市教育研究院、市电化教育馆、市教育基建和装备中心，各区、校；完成时限：常态化开展）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（二）依托教研体系推广阅读教学法。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市教育研究院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组织各学科教研员（全员参与）开展基于智慧阅读的课堂教学教研工作，明确教研内容，每学期开展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1-2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次智慧阅读研讨和展示活动；通过各区、校教研员，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组织开展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全市中小学教师智慧阅读系统培训。组织骨干教师研发全科阅读的教学场景和教学模式，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提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升教师智慧阅读与教育教学融合创新能力，推动基于阅读的课堂教学改革，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市教育评估和教师继续教育指导中心将智慧阅读</w:t>
      </w:r>
      <w:proofErr w:type="gramStart"/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研训按</w:t>
      </w:r>
      <w:proofErr w:type="gramEnd"/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学时管理相关要求纳入教师继续教育培训内容并登记学时。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（牵头单位：市教育研究院、各区、校；配合单位：市教育评估和教师继续教育指导中心；完成时限：常态化开展）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（三）推动阅读大数据建设与应用。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开展智慧阅读数据采集、研究、分析服务，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构建全市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中小学生阅读成长大数据，提供智慧阅读数据周报、月报，提供项目总体阅读数据分析报告，以数据支撑年度阅读报告。优化阅读测评功能，提供连续的阅读成长记录，确保平台为学生提供个性化阅读推荐。通过大数据分析、挖掘和机器智能学习，并建立阅读数据开放、共享、流通机制，推动智慧阅读数字化转型升级。（牵头单位：科研处、市教育研究院、电化教育馆；完成时限：常态化开展）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（四）打造高质量教学与</w:t>
      </w:r>
      <w:r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科研</w:t>
      </w: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成果。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市教育研究院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设立智慧阅读普及工作办公室，牵头成立智慧阅读名师工作室，建立智慧阅读专家库，组织开展基于智慧阅读的全科课堂教学改革的教育教学研究，形成系列教学方案和阅读素养提升案例。依托智慧阅读博士后实践基地，开展脑科学、认知科学、教育科学等交叉学科实证研究，打造以智慧阅读推动教育高质量发展的教育教学与科研成果。（牵头单位：市教育研究院；完成时限：常态化开展）</w:t>
      </w:r>
    </w:p>
    <w:p w:rsidR="006A3034" w:rsidRPr="006A3034" w:rsidRDefault="006A3034" w:rsidP="006A3034">
      <w:pPr>
        <w:tabs>
          <w:tab w:val="left" w:pos="4155"/>
        </w:tabs>
        <w:adjustRightInd w:val="0"/>
        <w:snapToGrid w:val="0"/>
        <w:spacing w:line="560" w:lineRule="exact"/>
        <w:ind w:firstLine="645"/>
        <w:textAlignment w:val="baseline"/>
        <w:rPr>
          <w:rFonts w:eastAsia="黑体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黑体"/>
          <w:snapToGrid w:val="0"/>
          <w:color w:val="000000"/>
          <w:kern w:val="0"/>
          <w:sz w:val="32"/>
          <w:szCs w:val="32"/>
          <w:lang w:bidi="ar"/>
        </w:rPr>
        <w:t>四、保障条件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（一）加强组织领导。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市教育局统筹、市区校协同推进智慧阅读普及工作。市教育局成立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广州市中小学智慧阅读普及工作领导小组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，纳入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“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广州市中小学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‘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三个普及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’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工作领导小组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”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系列。由市教育局教育信息化工作分管领导任组长，领导小组办公室设在市教育局科研处。各区教育局参照</w:t>
      </w:r>
      <w:proofErr w:type="gramStart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市做法</w:t>
      </w:r>
      <w:proofErr w:type="gramEnd"/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成立相应的组织机构，统筹推进智慧阅读工作；各校成立工作小组，明确责任人和工作联系人，做好智慧阅读的落地实施。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（二）建立联动</w:t>
      </w:r>
      <w:r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与激励</w:t>
      </w: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机制。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建立全市统筹推进机制，市、区、校三级纵向联动，行政、教研、电教、装备部门横向协同，汇聚研究院所、企业和协会等社会力量，共同打造智慧阅读广州模式。各区结合本区实际，组织区内中小学校落实；各学校基于课堂开展全学科阅读，并建立阅读反馈机制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市区两级邀请专家加强指导，对智慧阅读课堂教学改革落实、学生阅读空间活跃、阅读活动丰富、阅读教学与科研成果显著的学校，纳入智慧阅读样板校培育范围。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（三）加强支撑服务。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市教育研究院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组织服务供应商，提高智慧阅读服务支撑能力。责成服务企业落实责任人，组织技术攻关小组，按照服务需求进一步优化完善平台推荐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图书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、测评功能，提供更好的用户体验。提升平台的通用性、交互性、实效性，实时监控平台运行情况，及时解答和解决各类技术问题，确保平台安全稳定运行。</w:t>
      </w:r>
    </w:p>
    <w:p w:rsidR="006A3034" w:rsidRPr="006A3034" w:rsidRDefault="006A3034" w:rsidP="006A3034">
      <w:pPr>
        <w:adjustRightInd w:val="0"/>
        <w:snapToGrid w:val="0"/>
        <w:spacing w:line="560" w:lineRule="exact"/>
        <w:ind w:firstLine="645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6A3034">
        <w:rPr>
          <w:rFonts w:eastAsia="楷体_GB2312"/>
          <w:snapToGrid w:val="0"/>
          <w:color w:val="000000"/>
          <w:kern w:val="0"/>
          <w:sz w:val="32"/>
          <w:szCs w:val="32"/>
          <w:lang w:bidi="ar"/>
        </w:rPr>
        <w:t>（四）加强宣传推广。</w:t>
      </w:r>
      <w:r w:rsidRPr="006A3034">
        <w:rPr>
          <w:rFonts w:eastAsia="仿宋_GB2312"/>
          <w:snapToGrid w:val="0"/>
          <w:color w:val="000000"/>
          <w:kern w:val="0"/>
          <w:sz w:val="32"/>
          <w:szCs w:val="32"/>
        </w:rPr>
        <w:t>加大对智慧阅读课堂教学改革、主题阅读活动和学生阅读成长等的宣传力度，创新宣传手段，争取师生家长支持和参与智慧阅读，营造全民阅读氛围，推动我市智慧阅读持续健康发展。</w:t>
      </w:r>
    </w:p>
    <w:p w:rsidR="006A3034" w:rsidRDefault="006A3034" w:rsidP="006A3034">
      <w:pPr>
        <w:adjustRightInd w:val="0"/>
        <w:snapToGrid w:val="0"/>
        <w:spacing w:line="560" w:lineRule="exact"/>
        <w:textAlignment w:val="baseline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6A3034" w:rsidRDefault="006A3034" w:rsidP="006A3034">
      <w:pPr>
        <w:adjustRightInd w:val="0"/>
        <w:snapToGrid w:val="0"/>
        <w:spacing w:line="560" w:lineRule="exact"/>
        <w:textAlignment w:val="baseline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snapToGrid w:val="0"/>
          <w:color w:val="000000"/>
          <w:kern w:val="0"/>
        </w:rPr>
      </w:pPr>
    </w:p>
    <w:p w:rsidR="006A3034" w:rsidRDefault="006A3034" w:rsidP="006A3034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ascii="黑体" w:eastAsia="黑体" w:hAnsi="黑体"/>
          <w:snapToGrid w:val="0"/>
          <w:color w:val="000000"/>
          <w:kern w:val="0"/>
          <w:sz w:val="32"/>
          <w:szCs w:val="32"/>
        </w:rPr>
        <w:t>公开方式：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免予公开</w:t>
      </w:r>
    </w:p>
    <w:p w:rsidR="006A3034" w:rsidRDefault="006A3034" w:rsidP="006A3034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31337B" w:rsidRPr="006A3034" w:rsidRDefault="006A3034" w:rsidP="006A3034">
      <w:pPr>
        <w:pBdr>
          <w:top w:val="single" w:sz="6" w:space="1" w:color="auto"/>
          <w:bottom w:val="single" w:sz="6" w:space="1" w:color="auto"/>
        </w:pBdr>
        <w:adjustRightInd w:val="0"/>
        <w:snapToGrid w:val="0"/>
        <w:spacing w:line="560" w:lineRule="exact"/>
        <w:ind w:firstLineChars="100" w:firstLine="280"/>
        <w:rPr>
          <w:rFonts w:ascii="仿宋_GB2312" w:eastAsia="仿宋_GB2312"/>
          <w:snapToGrid w:val="0"/>
          <w:color w:val="000000"/>
          <w:kern w:val="0"/>
          <w:sz w:val="32"/>
        </w:rPr>
      </w:pPr>
      <w:r>
        <w:rPr>
          <w:rFonts w:eastAsia="仿宋_GB2312"/>
          <w:snapToGrid w:val="0"/>
          <w:color w:val="000000"/>
          <w:kern w:val="0"/>
          <w:sz w:val="28"/>
          <w:szCs w:val="28"/>
        </w:rPr>
        <w:t>广州市教育局办公室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 xml:space="preserve">  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 xml:space="preserve">                    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 xml:space="preserve"> 20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21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>年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9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>月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1</w:t>
      </w:r>
      <w:r>
        <w:rPr>
          <w:rFonts w:eastAsia="仿宋_GB2312"/>
          <w:snapToGrid w:val="0"/>
          <w:color w:val="000000"/>
          <w:kern w:val="0"/>
          <w:sz w:val="28"/>
          <w:szCs w:val="28"/>
        </w:rPr>
        <w:t>日印发</w:t>
      </w:r>
    </w:p>
    <w:sectPr w:rsidR="0031337B" w:rsidRPr="006A3034" w:rsidSect="00892BFF">
      <w:footerReference w:type="even" r:id="rId7"/>
      <w:footerReference w:type="default" r:id="rId8"/>
      <w:pgSz w:w="11906" w:h="16838"/>
      <w:pgMar w:top="1928" w:right="1474" w:bottom="1928" w:left="1474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AA5" w:rsidRDefault="00863AA5" w:rsidP="006A3034">
      <w:r>
        <w:separator/>
      </w:r>
    </w:p>
  </w:endnote>
  <w:endnote w:type="continuationSeparator" w:id="0">
    <w:p w:rsidR="00863AA5" w:rsidRDefault="00863AA5" w:rsidP="006A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F69" w:rsidRDefault="00863AA5">
    <w:pPr>
      <w:pStyle w:val="a4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 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92BFF" w:rsidRPr="00892BFF">
      <w:rPr>
        <w:rFonts w:ascii="宋体" w:hAnsi="宋体"/>
        <w:noProof/>
        <w:sz w:val="28"/>
        <w:szCs w:val="28"/>
        <w:lang w:val="zh-CN"/>
      </w:rPr>
      <w:t>-</w:t>
    </w:r>
    <w:r w:rsidR="00892BFF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F69" w:rsidRDefault="00863AA5">
    <w:pPr>
      <w:pStyle w:val="a4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                                                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92BFF" w:rsidRPr="00892BFF">
      <w:rPr>
        <w:rFonts w:ascii="宋体" w:hAnsi="宋体"/>
        <w:noProof/>
        <w:sz w:val="28"/>
        <w:szCs w:val="28"/>
        <w:lang w:val="zh-CN"/>
      </w:rPr>
      <w:t>-</w:t>
    </w:r>
    <w:r w:rsidR="00892BFF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AA5" w:rsidRDefault="00863AA5" w:rsidP="006A3034">
      <w:r>
        <w:separator/>
      </w:r>
    </w:p>
  </w:footnote>
  <w:footnote w:type="continuationSeparator" w:id="0">
    <w:p w:rsidR="00863AA5" w:rsidRDefault="00863AA5" w:rsidP="006A3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D1"/>
    <w:rsid w:val="002736D1"/>
    <w:rsid w:val="0031337B"/>
    <w:rsid w:val="006A3034"/>
    <w:rsid w:val="00863AA5"/>
    <w:rsid w:val="00892BFF"/>
    <w:rsid w:val="00A0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3034"/>
    <w:rPr>
      <w:sz w:val="18"/>
      <w:szCs w:val="18"/>
    </w:rPr>
  </w:style>
  <w:style w:type="paragraph" w:styleId="a4">
    <w:name w:val="footer"/>
    <w:basedOn w:val="a"/>
    <w:link w:val="Char0"/>
    <w:unhideWhenUsed/>
    <w:rsid w:val="006A3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A303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A30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303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3034"/>
    <w:rPr>
      <w:sz w:val="18"/>
      <w:szCs w:val="18"/>
    </w:rPr>
  </w:style>
  <w:style w:type="paragraph" w:styleId="a4">
    <w:name w:val="footer"/>
    <w:basedOn w:val="a"/>
    <w:link w:val="Char0"/>
    <w:unhideWhenUsed/>
    <w:rsid w:val="006A3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A303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A30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30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1911</Words>
  <Characters>1911</Characters>
  <Application>Microsoft Office Word</Application>
  <DocSecurity>0</DocSecurity>
  <Lines>100</Lines>
  <Paragraphs>36</Paragraphs>
  <ScaleCrop>false</ScaleCrop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科研处借调(郭鑫)</dc:creator>
  <cp:keywords/>
  <dc:description/>
  <cp:lastModifiedBy>文印室排版</cp:lastModifiedBy>
  <cp:revision>3</cp:revision>
  <dcterms:created xsi:type="dcterms:W3CDTF">2022-05-09T01:04:00Z</dcterms:created>
  <dcterms:modified xsi:type="dcterms:W3CDTF">2022-06-08T07:03:00Z</dcterms:modified>
</cp:coreProperties>
</file>