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rPr>
          <w:rFonts w:ascii="黑体" w:hAnsi="黑体" w:eastAsia="黑体"/>
          <w:color w:val="000000"/>
          <w:szCs w:val="32"/>
        </w:rPr>
      </w:pPr>
      <w:r>
        <w:rPr>
          <w:rFonts w:ascii="黑体" w:hAnsi="黑体" w:eastAsia="黑体"/>
          <w:color w:val="000000"/>
          <w:szCs w:val="32"/>
        </w:rPr>
        <w:t>附件1</w:t>
      </w:r>
    </w:p>
    <w:p>
      <w:pPr>
        <w:adjustRightInd w:val="0"/>
        <w:snapToGrid w:val="0"/>
        <w:spacing w:line="560" w:lineRule="exact"/>
        <w:rPr>
          <w:rFonts w:ascii="Times New Roman" w:eastAsia="黑体"/>
          <w:color w:val="000000"/>
          <w:szCs w:val="32"/>
        </w:rPr>
      </w:pPr>
    </w:p>
    <w:p>
      <w:pPr>
        <w:widowControl/>
        <w:adjustRightInd w:val="0"/>
        <w:snapToGrid w:val="0"/>
        <w:spacing w:line="560" w:lineRule="exact"/>
        <w:jc w:val="center"/>
        <w:rPr>
          <w:rFonts w:ascii="Times New Roman" w:eastAsia="方正小标宋_GBK"/>
          <w:bCs/>
          <w:color w:val="000000"/>
          <w:sz w:val="44"/>
          <w:szCs w:val="44"/>
        </w:rPr>
      </w:pPr>
      <w:r>
        <w:rPr>
          <w:rFonts w:ascii="Times New Roman" w:eastAsia="方正小标宋_GBK"/>
          <w:bCs/>
          <w:color w:val="000000"/>
          <w:sz w:val="44"/>
          <w:szCs w:val="44"/>
        </w:rPr>
        <w:t>广州市教育系统防汛应急响应措施</w:t>
      </w:r>
    </w:p>
    <w:p>
      <w:pPr>
        <w:adjustRightInd w:val="0"/>
        <w:snapToGrid w:val="0"/>
        <w:spacing w:line="560" w:lineRule="exact"/>
        <w:rPr>
          <w:rFonts w:ascii="Times New Roman"/>
          <w:color w:val="000000"/>
          <w:szCs w:val="32"/>
        </w:rPr>
      </w:pPr>
    </w:p>
    <w:p>
      <w:pPr>
        <w:adjustRightInd w:val="0"/>
        <w:snapToGrid w:val="0"/>
        <w:spacing w:line="560" w:lineRule="exact"/>
        <w:ind w:firstLine="640" w:firstLineChars="200"/>
        <w:rPr>
          <w:rFonts w:ascii="Times New Roman"/>
          <w:color w:val="000000"/>
          <w:szCs w:val="32"/>
        </w:rPr>
      </w:pPr>
      <w:r>
        <w:rPr>
          <w:rFonts w:ascii="Times New Roman"/>
          <w:color w:val="000000"/>
          <w:szCs w:val="32"/>
        </w:rPr>
        <w:t>根据《广州市防汛防早防风防冻应急预案》要求，防汛应急响应由低到高分为</w:t>
      </w:r>
      <w:r>
        <w:rPr>
          <w:rFonts w:ascii="Times New Roman"/>
          <w:color w:val="000000"/>
          <w:szCs w:val="32"/>
        </w:rPr>
        <w:fldChar w:fldCharType="begin"/>
      </w:r>
      <w:r>
        <w:rPr>
          <w:rFonts w:ascii="Times New Roman"/>
          <w:color w:val="000000"/>
          <w:szCs w:val="32"/>
        </w:rPr>
        <w:instrText xml:space="preserve"> = 4 \* ROMAN </w:instrText>
      </w:r>
      <w:r>
        <w:rPr>
          <w:rFonts w:ascii="Times New Roman"/>
          <w:color w:val="000000"/>
          <w:szCs w:val="32"/>
        </w:rPr>
        <w:fldChar w:fldCharType="separate"/>
      </w:r>
      <w:r>
        <w:rPr>
          <w:rFonts w:ascii="Times New Roman"/>
          <w:color w:val="000000"/>
          <w:szCs w:val="32"/>
        </w:rPr>
        <w:t>IV</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3 \* ROMAN </w:instrText>
      </w:r>
      <w:r>
        <w:rPr>
          <w:rFonts w:ascii="Times New Roman"/>
          <w:color w:val="000000"/>
          <w:szCs w:val="32"/>
        </w:rPr>
        <w:fldChar w:fldCharType="separate"/>
      </w:r>
      <w:r>
        <w:rPr>
          <w:rFonts w:ascii="Times New Roman"/>
          <w:color w:val="000000"/>
          <w:szCs w:val="32"/>
        </w:rPr>
        <w:t>III</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2 \* ROMAN </w:instrText>
      </w:r>
      <w:r>
        <w:rPr>
          <w:rFonts w:ascii="Times New Roman"/>
          <w:color w:val="000000"/>
          <w:szCs w:val="32"/>
        </w:rPr>
        <w:fldChar w:fldCharType="separate"/>
      </w:r>
      <w:r>
        <w:rPr>
          <w:rFonts w:ascii="Times New Roman"/>
          <w:color w:val="000000"/>
          <w:szCs w:val="32"/>
        </w:rPr>
        <w:t>II</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1 \* ROMAN </w:instrText>
      </w:r>
      <w:r>
        <w:rPr>
          <w:rFonts w:ascii="Times New Roman"/>
          <w:color w:val="000000"/>
          <w:szCs w:val="32"/>
        </w:rPr>
        <w:fldChar w:fldCharType="separate"/>
      </w:r>
      <w:r>
        <w:rPr>
          <w:rFonts w:ascii="Times New Roman"/>
          <w:color w:val="000000"/>
          <w:szCs w:val="32"/>
        </w:rPr>
        <w:t>I</w:t>
      </w:r>
      <w:r>
        <w:rPr>
          <w:rFonts w:ascii="Times New Roman"/>
          <w:color w:val="000000"/>
          <w:szCs w:val="32"/>
        </w:rPr>
        <w:fldChar w:fldCharType="end"/>
      </w:r>
      <w:r>
        <w:rPr>
          <w:rFonts w:ascii="Times New Roman"/>
          <w:color w:val="000000"/>
          <w:szCs w:val="32"/>
        </w:rPr>
        <w:t>级。</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一、防汛</w:t>
      </w:r>
      <w:bookmarkStart w:id="0" w:name="_Hlk27698144"/>
      <w:r>
        <w:rPr>
          <w:rFonts w:hint="eastAsia" w:ascii="宋体" w:hAnsi="宋体" w:eastAsia="宋体" w:cs="宋体"/>
          <w:color w:val="000000"/>
          <w:szCs w:val="32"/>
        </w:rPr>
        <w:t>Ⅳ</w:t>
      </w:r>
      <w:bookmarkEnd w:id="0"/>
      <w:r>
        <w:rPr>
          <w:rFonts w:ascii="Times New Roman" w:eastAsia="黑体"/>
          <w:color w:val="000000"/>
          <w:szCs w:val="32"/>
        </w:rPr>
        <w:t>级应急响应措施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1.每12小时向市教育局报告一次管辖范围内各级各类学校开课情况及安全措施落实情况等；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2.密切关注洪水发展态势，指导督促管辖范围内各级各类学校做好防洪措施和防洪宣传，重点关注山洪灾害易发区、水库下游、河道附近等危险区域的学校；</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二、防汛</w:t>
      </w:r>
      <w:r>
        <w:rPr>
          <w:rFonts w:hint="eastAsia" w:ascii="宋体" w:hAnsi="宋体" w:eastAsia="宋体" w:cs="宋体"/>
          <w:color w:val="000000"/>
          <w:szCs w:val="32"/>
        </w:rPr>
        <w:t>Ⅲ</w:t>
      </w:r>
      <w:r>
        <w:rPr>
          <w:rFonts w:ascii="Times New Roman" w:eastAsia="黑体"/>
          <w:color w:val="000000"/>
          <w:szCs w:val="32"/>
        </w:rPr>
        <w:t>级应急响应措施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2.督促、检查管辖范围内各级各类学校做好防洪措施和防洪宣传；</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3.督促、指导危险地区学校做好转移安置的准备工作；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三、防汛</w:t>
      </w:r>
      <w:r>
        <w:rPr>
          <w:rFonts w:hint="eastAsia" w:ascii="宋体" w:hAnsi="宋体" w:eastAsia="宋体" w:cs="宋体"/>
          <w:color w:val="000000"/>
          <w:szCs w:val="32"/>
        </w:rPr>
        <w:t>Ⅱ</w:t>
      </w:r>
      <w:r>
        <w:rPr>
          <w:rFonts w:ascii="Times New Roman" w:eastAsia="黑体"/>
          <w:color w:val="000000"/>
          <w:szCs w:val="32"/>
        </w:rPr>
        <w:t>级应急响应措施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2.视情通知危险地区管辖范围内各级各类学校停课撤离，协助地方政府开展在校师生的转移安置；</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3.视情通知危险地区高等院校停课撤离；</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四、防汛</w:t>
      </w:r>
      <w:r>
        <w:rPr>
          <w:rFonts w:hint="eastAsia" w:ascii="宋体" w:hAnsi="宋体" w:eastAsia="宋体" w:cs="宋体"/>
          <w:color w:val="000000"/>
          <w:szCs w:val="32"/>
        </w:rPr>
        <w:t>Ⅰ</w:t>
      </w:r>
      <w:r>
        <w:rPr>
          <w:rFonts w:ascii="Times New Roman" w:eastAsia="黑体"/>
          <w:color w:val="000000"/>
          <w:szCs w:val="32"/>
        </w:rPr>
        <w:t>级应急响应措施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2.核查、统计管辖范围内各级各类学校停课情况;</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3.全力协助地方政府开展危险地区在校师生的转移安置工作；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4.落实和执行市教育局的各项指示要求。</w:t>
      </w: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hint="eastAsia" w:ascii="Times New Roman"/>
          <w:color w:val="000000"/>
          <w:szCs w:val="32"/>
        </w:rPr>
      </w:pPr>
    </w:p>
    <w:p>
      <w:pPr>
        <w:adjustRightInd w:val="0"/>
        <w:snapToGrid w:val="0"/>
        <w:spacing w:line="560" w:lineRule="exact"/>
        <w:rPr>
          <w:rFonts w:hint="eastAsia"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rPr>
          <w:rFonts w:ascii="黑体" w:hAnsi="黑体" w:eastAsia="黑体"/>
          <w:color w:val="000000"/>
          <w:szCs w:val="32"/>
        </w:rPr>
      </w:pPr>
      <w:r>
        <w:rPr>
          <w:rFonts w:ascii="黑体" w:hAnsi="黑体" w:eastAsia="黑体"/>
          <w:color w:val="000000"/>
          <w:szCs w:val="32"/>
        </w:rPr>
        <w:t>附件2</w:t>
      </w:r>
    </w:p>
    <w:p>
      <w:pPr>
        <w:adjustRightInd w:val="0"/>
        <w:snapToGrid w:val="0"/>
        <w:spacing w:line="560" w:lineRule="exact"/>
        <w:rPr>
          <w:rFonts w:ascii="Times New Roman" w:eastAsia="黑体"/>
          <w:color w:val="000000"/>
          <w:szCs w:val="32"/>
        </w:rPr>
      </w:pPr>
    </w:p>
    <w:p>
      <w:pPr>
        <w:widowControl/>
        <w:adjustRightInd w:val="0"/>
        <w:snapToGrid w:val="0"/>
        <w:spacing w:line="560" w:lineRule="exact"/>
        <w:jc w:val="center"/>
        <w:rPr>
          <w:rFonts w:ascii="Times New Roman" w:eastAsia="方正小标宋_GBK"/>
          <w:bCs/>
          <w:color w:val="000000"/>
          <w:sz w:val="44"/>
          <w:szCs w:val="44"/>
        </w:rPr>
      </w:pPr>
      <w:r>
        <w:rPr>
          <w:rFonts w:ascii="Times New Roman" w:eastAsia="方正小标宋_GBK"/>
          <w:bCs/>
          <w:color w:val="000000"/>
          <w:sz w:val="44"/>
          <w:szCs w:val="44"/>
        </w:rPr>
        <w:t>广州市教育系统防风应急响应措施</w:t>
      </w:r>
    </w:p>
    <w:p>
      <w:pPr>
        <w:adjustRightInd w:val="0"/>
        <w:snapToGrid w:val="0"/>
        <w:spacing w:line="560" w:lineRule="exact"/>
        <w:rPr>
          <w:rFonts w:ascii="Times New Roman"/>
          <w:color w:val="000000"/>
          <w:szCs w:val="32"/>
        </w:rPr>
      </w:pPr>
    </w:p>
    <w:p>
      <w:pPr>
        <w:adjustRightInd w:val="0"/>
        <w:snapToGrid w:val="0"/>
        <w:spacing w:line="560" w:lineRule="exact"/>
        <w:ind w:firstLine="640" w:firstLineChars="200"/>
        <w:rPr>
          <w:rFonts w:ascii="Times New Roman"/>
          <w:color w:val="000000"/>
          <w:szCs w:val="32"/>
        </w:rPr>
      </w:pPr>
      <w:r>
        <w:rPr>
          <w:rFonts w:ascii="Times New Roman"/>
          <w:color w:val="000000"/>
          <w:szCs w:val="32"/>
        </w:rPr>
        <w:t>根据《广州市防汛防早防风防冻应急预案》要求，防风应急响应由低到高分为</w:t>
      </w:r>
      <w:r>
        <w:rPr>
          <w:rFonts w:ascii="Times New Roman"/>
          <w:color w:val="000000"/>
          <w:szCs w:val="32"/>
        </w:rPr>
        <w:fldChar w:fldCharType="begin"/>
      </w:r>
      <w:r>
        <w:rPr>
          <w:rFonts w:ascii="Times New Roman"/>
          <w:color w:val="000000"/>
          <w:szCs w:val="32"/>
        </w:rPr>
        <w:instrText xml:space="preserve"> = 4 \* ROMAN </w:instrText>
      </w:r>
      <w:r>
        <w:rPr>
          <w:rFonts w:ascii="Times New Roman"/>
          <w:color w:val="000000"/>
          <w:szCs w:val="32"/>
        </w:rPr>
        <w:fldChar w:fldCharType="separate"/>
      </w:r>
      <w:r>
        <w:rPr>
          <w:rFonts w:ascii="Times New Roman"/>
          <w:color w:val="000000"/>
          <w:szCs w:val="32"/>
        </w:rPr>
        <w:t>IV</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3 \* ROMAN </w:instrText>
      </w:r>
      <w:r>
        <w:rPr>
          <w:rFonts w:ascii="Times New Roman"/>
          <w:color w:val="000000"/>
          <w:szCs w:val="32"/>
        </w:rPr>
        <w:fldChar w:fldCharType="separate"/>
      </w:r>
      <w:r>
        <w:rPr>
          <w:rFonts w:ascii="Times New Roman"/>
          <w:color w:val="000000"/>
          <w:szCs w:val="32"/>
        </w:rPr>
        <w:t>III</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2 \* ROMAN </w:instrText>
      </w:r>
      <w:r>
        <w:rPr>
          <w:rFonts w:ascii="Times New Roman"/>
          <w:color w:val="000000"/>
          <w:szCs w:val="32"/>
        </w:rPr>
        <w:fldChar w:fldCharType="separate"/>
      </w:r>
      <w:r>
        <w:rPr>
          <w:rFonts w:ascii="Times New Roman"/>
          <w:color w:val="000000"/>
          <w:szCs w:val="32"/>
        </w:rPr>
        <w:t>II</w:t>
      </w:r>
      <w:r>
        <w:rPr>
          <w:rFonts w:ascii="Times New Roman"/>
          <w:color w:val="000000"/>
          <w:szCs w:val="32"/>
        </w:rPr>
        <w:fldChar w:fldCharType="end"/>
      </w:r>
      <w:r>
        <w:rPr>
          <w:rFonts w:ascii="Times New Roman"/>
          <w:color w:val="000000"/>
          <w:szCs w:val="32"/>
        </w:rPr>
        <w:t>、</w:t>
      </w:r>
      <w:r>
        <w:rPr>
          <w:rFonts w:ascii="Times New Roman"/>
          <w:color w:val="000000"/>
          <w:szCs w:val="32"/>
        </w:rPr>
        <w:fldChar w:fldCharType="begin"/>
      </w:r>
      <w:r>
        <w:rPr>
          <w:rFonts w:ascii="Times New Roman"/>
          <w:color w:val="000000"/>
          <w:szCs w:val="32"/>
        </w:rPr>
        <w:instrText xml:space="preserve"> = 1 \* ROMAN </w:instrText>
      </w:r>
      <w:r>
        <w:rPr>
          <w:rFonts w:ascii="Times New Roman"/>
          <w:color w:val="000000"/>
          <w:szCs w:val="32"/>
        </w:rPr>
        <w:fldChar w:fldCharType="separate"/>
      </w:r>
      <w:r>
        <w:rPr>
          <w:rFonts w:ascii="Times New Roman"/>
          <w:color w:val="000000"/>
          <w:szCs w:val="32"/>
        </w:rPr>
        <w:t>I</w:t>
      </w:r>
      <w:r>
        <w:rPr>
          <w:rFonts w:ascii="Times New Roman"/>
          <w:color w:val="000000"/>
          <w:szCs w:val="32"/>
        </w:rPr>
        <w:fldChar w:fldCharType="end"/>
      </w:r>
      <w:r>
        <w:rPr>
          <w:rFonts w:ascii="Times New Roman"/>
          <w:color w:val="000000"/>
          <w:szCs w:val="32"/>
        </w:rPr>
        <w:t>级。</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一、防风</w:t>
      </w:r>
      <w:r>
        <w:rPr>
          <w:rFonts w:hint="eastAsia" w:ascii="宋体" w:hAnsi="宋体" w:eastAsia="宋体" w:cs="宋体"/>
          <w:color w:val="000000"/>
          <w:szCs w:val="32"/>
        </w:rPr>
        <w:t>Ⅳ</w:t>
      </w:r>
      <w:r>
        <w:rPr>
          <w:rFonts w:ascii="Times New Roman" w:eastAsia="黑体"/>
          <w:color w:val="000000"/>
          <w:szCs w:val="32"/>
        </w:rPr>
        <w:t>级应急响应（防风准备状态）措施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1.每12小时向市教育局报告一次管辖范围内各级各类学校开课情况及安全措施落实情况；</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2.密切关注台风动态，督促管辖范围内各级各类学校做好防风措施，提醒学校做好停课的准备工作；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3.督促危险地区学校做好安全防护，做好转移安置的准备工作；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二、防风</w:t>
      </w:r>
      <w:r>
        <w:rPr>
          <w:rFonts w:hint="eastAsia" w:ascii="宋体" w:hAnsi="宋体" w:eastAsia="宋体" w:cs="宋体"/>
          <w:color w:val="000000"/>
          <w:szCs w:val="32"/>
        </w:rPr>
        <w:t>Ⅲ</w:t>
      </w:r>
      <w:r>
        <w:rPr>
          <w:rFonts w:ascii="Times New Roman" w:eastAsia="黑体"/>
          <w:color w:val="000000"/>
          <w:szCs w:val="32"/>
        </w:rPr>
        <w:t>级应急响应（防风状态）措施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2.通知发布台风黄色预警信号区域内管辖范围内各级各类学校实行停课，指导做好学校和在校学生防台风安全工作；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3.督促、指导危险地区学校做好安全防护移安置的准备工作，视情协助开展转移；</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三、防风</w:t>
      </w:r>
      <w:r>
        <w:rPr>
          <w:rFonts w:hint="eastAsia" w:ascii="宋体" w:hAnsi="宋体" w:eastAsia="宋体" w:cs="宋体"/>
          <w:color w:val="000000"/>
          <w:szCs w:val="32"/>
        </w:rPr>
        <w:t>Ⅱ</w:t>
      </w:r>
      <w:r>
        <w:rPr>
          <w:rFonts w:ascii="Times New Roman" w:eastAsia="黑体"/>
          <w:color w:val="000000"/>
          <w:szCs w:val="32"/>
        </w:rPr>
        <w:t>级应急响应（紧急防风状态）措施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2.核查管辖范围内各级各类学校的停课情况、防台风措施落实情况；</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3.根据台风影响范围和程度，适时通知危险区域内高等院校停课；</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4.协助地方政府开展危险地区在校师生的转移安置工作；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5.落实和执行市教育局的各项指示要求。</w:t>
      </w:r>
    </w:p>
    <w:p>
      <w:pPr>
        <w:adjustRightInd w:val="0"/>
        <w:snapToGrid w:val="0"/>
        <w:spacing w:line="560" w:lineRule="exact"/>
        <w:ind w:firstLine="640" w:firstLineChars="200"/>
        <w:rPr>
          <w:rFonts w:ascii="Times New Roman" w:eastAsia="黑体"/>
          <w:color w:val="000000"/>
          <w:szCs w:val="32"/>
        </w:rPr>
      </w:pPr>
      <w:r>
        <w:rPr>
          <w:rFonts w:ascii="Times New Roman" w:eastAsia="黑体"/>
          <w:color w:val="000000"/>
          <w:szCs w:val="32"/>
        </w:rPr>
        <w:t>四、防风</w:t>
      </w:r>
      <w:r>
        <w:rPr>
          <w:rFonts w:hint="eastAsia" w:ascii="宋体" w:hAnsi="宋体" w:eastAsia="宋体" w:cs="宋体"/>
          <w:color w:val="000000"/>
          <w:szCs w:val="32"/>
        </w:rPr>
        <w:t>Ⅰ</w:t>
      </w:r>
      <w:r>
        <w:rPr>
          <w:rFonts w:ascii="Times New Roman" w:eastAsia="黑体"/>
          <w:color w:val="000000"/>
          <w:szCs w:val="32"/>
        </w:rPr>
        <w:t>级应急响应（特别紧急防风状态）措施</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1.每6小时向市教育局报告一次管辖范围内各级各类学校开课情况及安全措施落实情况等；</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2.核查、统计管辖范围内各级各类学校停课情况、防台风措施落实情况；</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3.全力协助地方政府开展危险地区在校师生的转移安置工作；</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4.如发布“五停令”，通知管辖范围内高等院校停课；</w:t>
      </w:r>
    </w:p>
    <w:p>
      <w:pPr>
        <w:adjustRightInd w:val="0"/>
        <w:snapToGrid w:val="0"/>
        <w:spacing w:line="560" w:lineRule="exact"/>
        <w:ind w:firstLine="640" w:firstLineChars="200"/>
        <w:rPr>
          <w:rFonts w:ascii="Times New Roman"/>
          <w:color w:val="000000"/>
          <w:szCs w:val="32"/>
        </w:rPr>
      </w:pPr>
      <w:r>
        <w:rPr>
          <w:rFonts w:ascii="Times New Roman"/>
          <w:color w:val="000000"/>
          <w:szCs w:val="32"/>
        </w:rPr>
        <w:t>5.落实和执行市教育局的各项指示要求。</w:t>
      </w:r>
    </w:p>
    <w:p>
      <w:pPr>
        <w:adjustRightInd w:val="0"/>
        <w:snapToGrid w:val="0"/>
        <w:spacing w:line="560" w:lineRule="exact"/>
        <w:rPr>
          <w:rFonts w:hint="eastAsia" w:ascii="Times New Roman"/>
          <w:color w:val="000000"/>
          <w:szCs w:val="32"/>
        </w:rPr>
      </w:pPr>
    </w:p>
    <w:p>
      <w:pPr>
        <w:adjustRightInd w:val="0"/>
        <w:snapToGrid w:val="0"/>
        <w:spacing w:line="560" w:lineRule="exact"/>
        <w:rPr>
          <w:rFonts w:ascii="Times New Roman"/>
          <w:color w:val="000000"/>
          <w:szCs w:val="32"/>
        </w:rPr>
      </w:pPr>
    </w:p>
    <w:p>
      <w:pPr>
        <w:adjustRightInd w:val="0"/>
        <w:snapToGrid w:val="0"/>
        <w:spacing w:line="560" w:lineRule="exact"/>
        <w:ind w:firstLine="640" w:firstLineChars="200"/>
        <w:rPr>
          <w:rFonts w:ascii="Times New Roman" w:eastAsia="黑体"/>
          <w:color w:val="000000"/>
          <w:szCs w:val="32"/>
        </w:rPr>
        <w:sectPr>
          <w:footerReference r:id="rId5" w:type="first"/>
          <w:footerReference r:id="rId3" w:type="default"/>
          <w:footerReference r:id="rId4" w:type="even"/>
          <w:pgSz w:w="11906" w:h="16838"/>
          <w:pgMar w:top="1928" w:right="1474" w:bottom="1928" w:left="1474" w:header="851" w:footer="1247" w:gutter="0"/>
          <w:pgNumType w:fmt="numberInDash"/>
          <w:cols w:space="425" w:num="1"/>
          <w:titlePg/>
          <w:docGrid w:linePitch="579" w:charSpace="-849"/>
        </w:sectPr>
      </w:pPr>
    </w:p>
    <w:p>
      <w:pPr>
        <w:spacing w:line="560" w:lineRule="exact"/>
        <w:rPr>
          <w:rFonts w:ascii="黑体" w:hAnsi="黑体" w:eastAsia="黑体"/>
          <w:color w:val="000000"/>
          <w:szCs w:val="32"/>
        </w:rPr>
      </w:pPr>
      <w:r>
        <w:rPr>
          <w:rFonts w:ascii="黑体" w:hAnsi="黑体" w:eastAsia="黑体"/>
          <w:color w:val="000000"/>
          <w:szCs w:val="32"/>
        </w:rPr>
        <w:t>附件3</w:t>
      </w:r>
    </w:p>
    <w:p>
      <w:pPr>
        <w:spacing w:line="560" w:lineRule="exact"/>
        <w:rPr>
          <w:rFonts w:ascii="Times New Roman" w:eastAsia="黑体"/>
          <w:color w:val="000000"/>
          <w:szCs w:val="32"/>
        </w:rPr>
      </w:pPr>
    </w:p>
    <w:p>
      <w:pPr>
        <w:spacing w:line="560" w:lineRule="exact"/>
        <w:jc w:val="center"/>
        <w:rPr>
          <w:rFonts w:hint="eastAsia" w:ascii="Times New Roman" w:eastAsia="方正小标宋_GBK"/>
          <w:color w:val="000000"/>
          <w:sz w:val="44"/>
          <w:szCs w:val="44"/>
        </w:rPr>
      </w:pPr>
      <w:r>
        <w:rPr>
          <w:rFonts w:ascii="Times New Roman" w:eastAsia="方正小标宋_GBK"/>
          <w:color w:val="000000"/>
          <w:sz w:val="44"/>
          <w:szCs w:val="44"/>
        </w:rPr>
        <w:t>广州市教育系统防御工作开展情况统计表</w:t>
      </w:r>
    </w:p>
    <w:p>
      <w:pPr>
        <w:spacing w:line="560" w:lineRule="exact"/>
        <w:rPr>
          <w:rFonts w:hint="eastAsia"/>
          <w:color w:val="000000"/>
          <w:szCs w:val="32"/>
        </w:rPr>
      </w:pPr>
    </w:p>
    <w:tbl>
      <w:tblPr>
        <w:tblStyle w:val="3"/>
        <w:tblW w:w="13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01"/>
        <w:gridCol w:w="725"/>
        <w:gridCol w:w="1701"/>
        <w:gridCol w:w="1701"/>
        <w:gridCol w:w="1559"/>
        <w:gridCol w:w="1418"/>
        <w:gridCol w:w="1134"/>
        <w:gridCol w:w="127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892" w:type="dxa"/>
            <w:gridSpan w:val="10"/>
            <w:shd w:val="clear" w:color="auto" w:fill="auto"/>
            <w:noWrap w:val="0"/>
            <w:vAlign w:val="center"/>
          </w:tcPr>
          <w:p>
            <w:pPr>
              <w:spacing w:line="360" w:lineRule="exact"/>
              <w:rPr>
                <w:rFonts w:ascii="Times New Roman"/>
                <w:color w:val="000000"/>
                <w:sz w:val="24"/>
              </w:rPr>
            </w:pPr>
            <w:r>
              <w:rPr>
                <w:rFonts w:ascii="Times New Roman"/>
                <w:color w:val="000000"/>
                <w:sz w:val="24"/>
              </w:rPr>
              <w:t>填报单位（盖章）：                                                         填报时间：  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35"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单位</w:t>
            </w:r>
          </w:p>
        </w:tc>
        <w:tc>
          <w:tcPr>
            <w:tcW w:w="1401"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启动三防应急响应种类和级别</w:t>
            </w:r>
          </w:p>
        </w:tc>
        <w:tc>
          <w:tcPr>
            <w:tcW w:w="725"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派出工作组</w:t>
            </w:r>
            <w:r>
              <w:rPr>
                <w:rFonts w:ascii="Times New Roman"/>
                <w:color w:val="000000"/>
                <w:w w:val="80"/>
                <w:sz w:val="24"/>
              </w:rPr>
              <w:t>（个）</w:t>
            </w:r>
          </w:p>
        </w:tc>
        <w:tc>
          <w:tcPr>
            <w:tcW w:w="7513" w:type="dxa"/>
            <w:gridSpan w:val="5"/>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重点检查对象</w:t>
            </w:r>
          </w:p>
        </w:tc>
        <w:tc>
          <w:tcPr>
            <w:tcW w:w="1275"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出动抢险力量（人）</w:t>
            </w:r>
          </w:p>
        </w:tc>
        <w:tc>
          <w:tcPr>
            <w:tcW w:w="1843"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发布预警或防御信息（条）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35" w:type="dxa"/>
            <w:vMerge w:val="continue"/>
            <w:shd w:val="clear" w:color="auto" w:fill="auto"/>
            <w:noWrap w:val="0"/>
            <w:vAlign w:val="center"/>
          </w:tcPr>
          <w:p>
            <w:pPr>
              <w:spacing w:line="360" w:lineRule="exact"/>
              <w:jc w:val="center"/>
              <w:rPr>
                <w:rFonts w:ascii="Times New Roman"/>
                <w:color w:val="000000"/>
                <w:sz w:val="24"/>
              </w:rPr>
            </w:pPr>
          </w:p>
        </w:tc>
        <w:tc>
          <w:tcPr>
            <w:tcW w:w="1401" w:type="dxa"/>
            <w:vMerge w:val="continue"/>
            <w:shd w:val="clear" w:color="auto" w:fill="auto"/>
            <w:noWrap w:val="0"/>
            <w:vAlign w:val="center"/>
          </w:tcPr>
          <w:p>
            <w:pPr>
              <w:spacing w:line="360" w:lineRule="exact"/>
              <w:jc w:val="center"/>
              <w:rPr>
                <w:rFonts w:ascii="Times New Roman"/>
                <w:color w:val="000000"/>
                <w:sz w:val="24"/>
              </w:rPr>
            </w:pPr>
          </w:p>
        </w:tc>
        <w:tc>
          <w:tcPr>
            <w:tcW w:w="725" w:type="dxa"/>
            <w:vMerge w:val="continue"/>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低洼、易涝区学校（个）</w:t>
            </w:r>
          </w:p>
        </w:tc>
        <w:tc>
          <w:tcPr>
            <w:tcW w:w="1701"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山体或边坡旁学校（个）</w:t>
            </w:r>
          </w:p>
        </w:tc>
        <w:tc>
          <w:tcPr>
            <w:tcW w:w="1559"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在建工地（处）</w:t>
            </w:r>
          </w:p>
        </w:tc>
        <w:tc>
          <w:tcPr>
            <w:tcW w:w="1418"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地质灾害点（处）</w:t>
            </w:r>
          </w:p>
        </w:tc>
        <w:tc>
          <w:tcPr>
            <w:tcW w:w="1134"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其他</w:t>
            </w:r>
          </w:p>
        </w:tc>
        <w:tc>
          <w:tcPr>
            <w:tcW w:w="1275" w:type="dxa"/>
            <w:vMerge w:val="continue"/>
            <w:shd w:val="clear" w:color="auto" w:fill="auto"/>
            <w:noWrap w:val="0"/>
            <w:vAlign w:val="center"/>
          </w:tcPr>
          <w:p>
            <w:pPr>
              <w:spacing w:line="360" w:lineRule="exact"/>
              <w:jc w:val="center"/>
              <w:rPr>
                <w:rFonts w:ascii="Times New Roman"/>
                <w:color w:val="000000"/>
                <w:sz w:val="24"/>
              </w:rPr>
            </w:pPr>
          </w:p>
        </w:tc>
        <w:tc>
          <w:tcPr>
            <w:tcW w:w="1843" w:type="dxa"/>
            <w:vMerge w:val="continue"/>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5" w:type="dxa"/>
            <w:shd w:val="clear" w:color="auto" w:fill="auto"/>
            <w:noWrap w:val="0"/>
            <w:vAlign w:val="center"/>
          </w:tcPr>
          <w:p>
            <w:pPr>
              <w:spacing w:line="360" w:lineRule="exact"/>
              <w:jc w:val="center"/>
              <w:rPr>
                <w:rFonts w:ascii="Times New Roman"/>
                <w:color w:val="000000"/>
                <w:sz w:val="24"/>
              </w:rPr>
            </w:pPr>
          </w:p>
        </w:tc>
        <w:tc>
          <w:tcPr>
            <w:tcW w:w="1401" w:type="dxa"/>
            <w:shd w:val="clear" w:color="auto" w:fill="auto"/>
            <w:noWrap w:val="0"/>
            <w:vAlign w:val="center"/>
          </w:tcPr>
          <w:p>
            <w:pPr>
              <w:spacing w:line="360" w:lineRule="exact"/>
              <w:jc w:val="center"/>
              <w:rPr>
                <w:rFonts w:ascii="Times New Roman"/>
                <w:color w:val="000000"/>
                <w:sz w:val="24"/>
              </w:rPr>
            </w:pPr>
          </w:p>
        </w:tc>
        <w:tc>
          <w:tcPr>
            <w:tcW w:w="725"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559" w:type="dxa"/>
            <w:shd w:val="clear" w:color="auto" w:fill="auto"/>
            <w:noWrap w:val="0"/>
            <w:vAlign w:val="center"/>
          </w:tcPr>
          <w:p>
            <w:pPr>
              <w:spacing w:line="360" w:lineRule="exact"/>
              <w:jc w:val="center"/>
              <w:rPr>
                <w:rFonts w:ascii="Times New Roman"/>
                <w:color w:val="000000"/>
                <w:sz w:val="24"/>
              </w:rPr>
            </w:pPr>
          </w:p>
        </w:tc>
        <w:tc>
          <w:tcPr>
            <w:tcW w:w="1418" w:type="dxa"/>
            <w:shd w:val="clear" w:color="auto" w:fill="auto"/>
            <w:noWrap w:val="0"/>
            <w:vAlign w:val="center"/>
          </w:tcPr>
          <w:p>
            <w:pPr>
              <w:spacing w:line="360" w:lineRule="exact"/>
              <w:jc w:val="center"/>
              <w:rPr>
                <w:rFonts w:ascii="Times New Roman"/>
                <w:color w:val="000000"/>
                <w:sz w:val="24"/>
              </w:rPr>
            </w:pPr>
          </w:p>
        </w:tc>
        <w:tc>
          <w:tcPr>
            <w:tcW w:w="1134" w:type="dxa"/>
            <w:shd w:val="clear" w:color="auto" w:fill="auto"/>
            <w:noWrap w:val="0"/>
            <w:vAlign w:val="center"/>
          </w:tcPr>
          <w:p>
            <w:pPr>
              <w:spacing w:line="360" w:lineRule="exact"/>
              <w:jc w:val="center"/>
              <w:rPr>
                <w:rFonts w:ascii="Times New Roman"/>
                <w:color w:val="000000"/>
                <w:sz w:val="24"/>
              </w:rPr>
            </w:pPr>
          </w:p>
        </w:tc>
        <w:tc>
          <w:tcPr>
            <w:tcW w:w="1275" w:type="dxa"/>
            <w:shd w:val="clear" w:color="auto" w:fill="auto"/>
            <w:noWrap w:val="0"/>
            <w:vAlign w:val="center"/>
          </w:tcPr>
          <w:p>
            <w:pPr>
              <w:spacing w:line="360" w:lineRule="exact"/>
              <w:jc w:val="center"/>
              <w:rPr>
                <w:rFonts w:ascii="Times New Roman"/>
                <w:color w:val="000000"/>
                <w:sz w:val="24"/>
              </w:rPr>
            </w:pPr>
          </w:p>
        </w:tc>
        <w:tc>
          <w:tcPr>
            <w:tcW w:w="1843"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5" w:type="dxa"/>
            <w:shd w:val="clear" w:color="auto" w:fill="auto"/>
            <w:noWrap w:val="0"/>
            <w:vAlign w:val="center"/>
          </w:tcPr>
          <w:p>
            <w:pPr>
              <w:spacing w:line="360" w:lineRule="exact"/>
              <w:jc w:val="center"/>
              <w:rPr>
                <w:rFonts w:ascii="Times New Roman"/>
                <w:color w:val="000000"/>
                <w:sz w:val="24"/>
              </w:rPr>
            </w:pPr>
          </w:p>
        </w:tc>
        <w:tc>
          <w:tcPr>
            <w:tcW w:w="1401" w:type="dxa"/>
            <w:shd w:val="clear" w:color="auto" w:fill="auto"/>
            <w:noWrap w:val="0"/>
            <w:vAlign w:val="center"/>
          </w:tcPr>
          <w:p>
            <w:pPr>
              <w:spacing w:line="360" w:lineRule="exact"/>
              <w:jc w:val="center"/>
              <w:rPr>
                <w:rFonts w:ascii="Times New Roman"/>
                <w:color w:val="000000"/>
                <w:sz w:val="24"/>
              </w:rPr>
            </w:pPr>
          </w:p>
        </w:tc>
        <w:tc>
          <w:tcPr>
            <w:tcW w:w="725"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559" w:type="dxa"/>
            <w:shd w:val="clear" w:color="auto" w:fill="auto"/>
            <w:noWrap w:val="0"/>
            <w:vAlign w:val="center"/>
          </w:tcPr>
          <w:p>
            <w:pPr>
              <w:spacing w:line="360" w:lineRule="exact"/>
              <w:jc w:val="center"/>
              <w:rPr>
                <w:rFonts w:ascii="Times New Roman"/>
                <w:color w:val="000000"/>
                <w:sz w:val="24"/>
              </w:rPr>
            </w:pPr>
          </w:p>
        </w:tc>
        <w:tc>
          <w:tcPr>
            <w:tcW w:w="1418" w:type="dxa"/>
            <w:shd w:val="clear" w:color="auto" w:fill="auto"/>
            <w:noWrap w:val="0"/>
            <w:vAlign w:val="center"/>
          </w:tcPr>
          <w:p>
            <w:pPr>
              <w:spacing w:line="360" w:lineRule="exact"/>
              <w:jc w:val="center"/>
              <w:rPr>
                <w:rFonts w:ascii="Times New Roman"/>
                <w:color w:val="000000"/>
                <w:sz w:val="24"/>
              </w:rPr>
            </w:pPr>
          </w:p>
        </w:tc>
        <w:tc>
          <w:tcPr>
            <w:tcW w:w="1134" w:type="dxa"/>
            <w:shd w:val="clear" w:color="auto" w:fill="auto"/>
            <w:noWrap w:val="0"/>
            <w:vAlign w:val="center"/>
          </w:tcPr>
          <w:p>
            <w:pPr>
              <w:spacing w:line="360" w:lineRule="exact"/>
              <w:jc w:val="center"/>
              <w:rPr>
                <w:rFonts w:ascii="Times New Roman"/>
                <w:color w:val="000000"/>
                <w:sz w:val="24"/>
              </w:rPr>
            </w:pPr>
          </w:p>
        </w:tc>
        <w:tc>
          <w:tcPr>
            <w:tcW w:w="1275" w:type="dxa"/>
            <w:shd w:val="clear" w:color="auto" w:fill="auto"/>
            <w:noWrap w:val="0"/>
            <w:vAlign w:val="center"/>
          </w:tcPr>
          <w:p>
            <w:pPr>
              <w:spacing w:line="360" w:lineRule="exact"/>
              <w:jc w:val="center"/>
              <w:rPr>
                <w:rFonts w:ascii="Times New Roman"/>
                <w:color w:val="000000"/>
                <w:sz w:val="24"/>
              </w:rPr>
            </w:pPr>
          </w:p>
        </w:tc>
        <w:tc>
          <w:tcPr>
            <w:tcW w:w="1843"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5" w:type="dxa"/>
            <w:shd w:val="clear" w:color="auto" w:fill="auto"/>
            <w:noWrap w:val="0"/>
            <w:vAlign w:val="center"/>
          </w:tcPr>
          <w:p>
            <w:pPr>
              <w:spacing w:line="360" w:lineRule="exact"/>
              <w:jc w:val="center"/>
              <w:rPr>
                <w:rFonts w:ascii="Times New Roman"/>
                <w:color w:val="000000"/>
                <w:sz w:val="24"/>
              </w:rPr>
            </w:pPr>
          </w:p>
        </w:tc>
        <w:tc>
          <w:tcPr>
            <w:tcW w:w="1401" w:type="dxa"/>
            <w:shd w:val="clear" w:color="auto" w:fill="auto"/>
            <w:noWrap w:val="0"/>
            <w:vAlign w:val="center"/>
          </w:tcPr>
          <w:p>
            <w:pPr>
              <w:spacing w:line="360" w:lineRule="exact"/>
              <w:jc w:val="center"/>
              <w:rPr>
                <w:rFonts w:ascii="Times New Roman"/>
                <w:color w:val="000000"/>
                <w:sz w:val="24"/>
              </w:rPr>
            </w:pPr>
          </w:p>
        </w:tc>
        <w:tc>
          <w:tcPr>
            <w:tcW w:w="725"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559" w:type="dxa"/>
            <w:shd w:val="clear" w:color="auto" w:fill="auto"/>
            <w:noWrap w:val="0"/>
            <w:vAlign w:val="center"/>
          </w:tcPr>
          <w:p>
            <w:pPr>
              <w:spacing w:line="360" w:lineRule="exact"/>
              <w:jc w:val="center"/>
              <w:rPr>
                <w:rFonts w:ascii="Times New Roman"/>
                <w:color w:val="000000"/>
                <w:sz w:val="24"/>
              </w:rPr>
            </w:pPr>
          </w:p>
        </w:tc>
        <w:tc>
          <w:tcPr>
            <w:tcW w:w="1418" w:type="dxa"/>
            <w:shd w:val="clear" w:color="auto" w:fill="auto"/>
            <w:noWrap w:val="0"/>
            <w:vAlign w:val="center"/>
          </w:tcPr>
          <w:p>
            <w:pPr>
              <w:spacing w:line="360" w:lineRule="exact"/>
              <w:jc w:val="center"/>
              <w:rPr>
                <w:rFonts w:ascii="Times New Roman"/>
                <w:color w:val="000000"/>
                <w:sz w:val="24"/>
              </w:rPr>
            </w:pPr>
          </w:p>
        </w:tc>
        <w:tc>
          <w:tcPr>
            <w:tcW w:w="1134" w:type="dxa"/>
            <w:shd w:val="clear" w:color="auto" w:fill="auto"/>
            <w:noWrap w:val="0"/>
            <w:vAlign w:val="center"/>
          </w:tcPr>
          <w:p>
            <w:pPr>
              <w:spacing w:line="360" w:lineRule="exact"/>
              <w:jc w:val="center"/>
              <w:rPr>
                <w:rFonts w:ascii="Times New Roman"/>
                <w:color w:val="000000"/>
                <w:sz w:val="24"/>
              </w:rPr>
            </w:pPr>
          </w:p>
        </w:tc>
        <w:tc>
          <w:tcPr>
            <w:tcW w:w="1275" w:type="dxa"/>
            <w:shd w:val="clear" w:color="auto" w:fill="auto"/>
            <w:noWrap w:val="0"/>
            <w:vAlign w:val="center"/>
          </w:tcPr>
          <w:p>
            <w:pPr>
              <w:spacing w:line="360" w:lineRule="exact"/>
              <w:jc w:val="center"/>
              <w:rPr>
                <w:rFonts w:ascii="Times New Roman"/>
                <w:color w:val="000000"/>
                <w:sz w:val="24"/>
              </w:rPr>
            </w:pPr>
          </w:p>
        </w:tc>
        <w:tc>
          <w:tcPr>
            <w:tcW w:w="1843"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5" w:type="dxa"/>
            <w:shd w:val="clear" w:color="auto" w:fill="auto"/>
            <w:noWrap w:val="0"/>
            <w:vAlign w:val="center"/>
          </w:tcPr>
          <w:p>
            <w:pPr>
              <w:spacing w:line="360" w:lineRule="exact"/>
              <w:jc w:val="center"/>
              <w:rPr>
                <w:rFonts w:ascii="Times New Roman"/>
                <w:color w:val="000000"/>
                <w:sz w:val="24"/>
              </w:rPr>
            </w:pPr>
          </w:p>
        </w:tc>
        <w:tc>
          <w:tcPr>
            <w:tcW w:w="1401" w:type="dxa"/>
            <w:shd w:val="clear" w:color="auto" w:fill="auto"/>
            <w:noWrap w:val="0"/>
            <w:vAlign w:val="center"/>
          </w:tcPr>
          <w:p>
            <w:pPr>
              <w:spacing w:line="360" w:lineRule="exact"/>
              <w:jc w:val="center"/>
              <w:rPr>
                <w:rFonts w:ascii="Times New Roman"/>
                <w:color w:val="000000"/>
                <w:sz w:val="24"/>
              </w:rPr>
            </w:pPr>
          </w:p>
        </w:tc>
        <w:tc>
          <w:tcPr>
            <w:tcW w:w="725"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559" w:type="dxa"/>
            <w:shd w:val="clear" w:color="auto" w:fill="auto"/>
            <w:noWrap w:val="0"/>
            <w:vAlign w:val="center"/>
          </w:tcPr>
          <w:p>
            <w:pPr>
              <w:spacing w:line="360" w:lineRule="exact"/>
              <w:jc w:val="center"/>
              <w:rPr>
                <w:rFonts w:ascii="Times New Roman"/>
                <w:color w:val="000000"/>
                <w:sz w:val="24"/>
              </w:rPr>
            </w:pPr>
          </w:p>
        </w:tc>
        <w:tc>
          <w:tcPr>
            <w:tcW w:w="1418" w:type="dxa"/>
            <w:shd w:val="clear" w:color="auto" w:fill="auto"/>
            <w:noWrap w:val="0"/>
            <w:vAlign w:val="center"/>
          </w:tcPr>
          <w:p>
            <w:pPr>
              <w:spacing w:line="360" w:lineRule="exact"/>
              <w:jc w:val="center"/>
              <w:rPr>
                <w:rFonts w:ascii="Times New Roman"/>
                <w:color w:val="000000"/>
                <w:sz w:val="24"/>
              </w:rPr>
            </w:pPr>
          </w:p>
        </w:tc>
        <w:tc>
          <w:tcPr>
            <w:tcW w:w="1134" w:type="dxa"/>
            <w:shd w:val="clear" w:color="auto" w:fill="auto"/>
            <w:noWrap w:val="0"/>
            <w:vAlign w:val="center"/>
          </w:tcPr>
          <w:p>
            <w:pPr>
              <w:spacing w:line="360" w:lineRule="exact"/>
              <w:jc w:val="center"/>
              <w:rPr>
                <w:rFonts w:ascii="Times New Roman"/>
                <w:color w:val="000000"/>
                <w:sz w:val="24"/>
              </w:rPr>
            </w:pPr>
          </w:p>
        </w:tc>
        <w:tc>
          <w:tcPr>
            <w:tcW w:w="1275" w:type="dxa"/>
            <w:shd w:val="clear" w:color="auto" w:fill="auto"/>
            <w:noWrap w:val="0"/>
            <w:vAlign w:val="center"/>
          </w:tcPr>
          <w:p>
            <w:pPr>
              <w:spacing w:line="360" w:lineRule="exact"/>
              <w:jc w:val="center"/>
              <w:rPr>
                <w:rFonts w:ascii="Times New Roman"/>
                <w:color w:val="000000"/>
                <w:sz w:val="24"/>
              </w:rPr>
            </w:pPr>
          </w:p>
        </w:tc>
        <w:tc>
          <w:tcPr>
            <w:tcW w:w="1843"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5" w:type="dxa"/>
            <w:shd w:val="clear" w:color="auto" w:fill="auto"/>
            <w:noWrap w:val="0"/>
            <w:vAlign w:val="center"/>
          </w:tcPr>
          <w:p>
            <w:pPr>
              <w:spacing w:line="360" w:lineRule="exact"/>
              <w:jc w:val="center"/>
              <w:rPr>
                <w:rFonts w:ascii="Times New Roman"/>
                <w:color w:val="000000"/>
                <w:sz w:val="24"/>
              </w:rPr>
            </w:pPr>
          </w:p>
        </w:tc>
        <w:tc>
          <w:tcPr>
            <w:tcW w:w="1401" w:type="dxa"/>
            <w:shd w:val="clear" w:color="auto" w:fill="auto"/>
            <w:noWrap w:val="0"/>
            <w:vAlign w:val="center"/>
          </w:tcPr>
          <w:p>
            <w:pPr>
              <w:spacing w:line="360" w:lineRule="exact"/>
              <w:jc w:val="center"/>
              <w:rPr>
                <w:rFonts w:ascii="Times New Roman"/>
                <w:color w:val="000000"/>
                <w:sz w:val="24"/>
              </w:rPr>
            </w:pPr>
          </w:p>
        </w:tc>
        <w:tc>
          <w:tcPr>
            <w:tcW w:w="725"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701" w:type="dxa"/>
            <w:shd w:val="clear" w:color="auto" w:fill="auto"/>
            <w:noWrap w:val="0"/>
            <w:vAlign w:val="center"/>
          </w:tcPr>
          <w:p>
            <w:pPr>
              <w:spacing w:line="360" w:lineRule="exact"/>
              <w:jc w:val="center"/>
              <w:rPr>
                <w:rFonts w:ascii="Times New Roman"/>
                <w:color w:val="000000"/>
                <w:sz w:val="24"/>
              </w:rPr>
            </w:pPr>
          </w:p>
        </w:tc>
        <w:tc>
          <w:tcPr>
            <w:tcW w:w="1559" w:type="dxa"/>
            <w:shd w:val="clear" w:color="auto" w:fill="auto"/>
            <w:noWrap w:val="0"/>
            <w:vAlign w:val="center"/>
          </w:tcPr>
          <w:p>
            <w:pPr>
              <w:spacing w:line="360" w:lineRule="exact"/>
              <w:jc w:val="center"/>
              <w:rPr>
                <w:rFonts w:ascii="Times New Roman"/>
                <w:color w:val="000000"/>
                <w:sz w:val="24"/>
              </w:rPr>
            </w:pPr>
          </w:p>
        </w:tc>
        <w:tc>
          <w:tcPr>
            <w:tcW w:w="1418" w:type="dxa"/>
            <w:shd w:val="clear" w:color="auto" w:fill="auto"/>
            <w:noWrap w:val="0"/>
            <w:vAlign w:val="center"/>
          </w:tcPr>
          <w:p>
            <w:pPr>
              <w:spacing w:line="360" w:lineRule="exact"/>
              <w:jc w:val="center"/>
              <w:rPr>
                <w:rFonts w:ascii="Times New Roman"/>
                <w:color w:val="000000"/>
                <w:sz w:val="24"/>
              </w:rPr>
            </w:pPr>
          </w:p>
        </w:tc>
        <w:tc>
          <w:tcPr>
            <w:tcW w:w="1134" w:type="dxa"/>
            <w:shd w:val="clear" w:color="auto" w:fill="auto"/>
            <w:noWrap w:val="0"/>
            <w:vAlign w:val="center"/>
          </w:tcPr>
          <w:p>
            <w:pPr>
              <w:spacing w:line="360" w:lineRule="exact"/>
              <w:jc w:val="center"/>
              <w:rPr>
                <w:rFonts w:ascii="Times New Roman"/>
                <w:color w:val="000000"/>
                <w:sz w:val="24"/>
              </w:rPr>
            </w:pPr>
          </w:p>
        </w:tc>
        <w:tc>
          <w:tcPr>
            <w:tcW w:w="1275" w:type="dxa"/>
            <w:shd w:val="clear" w:color="auto" w:fill="auto"/>
            <w:noWrap w:val="0"/>
            <w:vAlign w:val="center"/>
          </w:tcPr>
          <w:p>
            <w:pPr>
              <w:spacing w:line="360" w:lineRule="exact"/>
              <w:jc w:val="center"/>
              <w:rPr>
                <w:rFonts w:ascii="Times New Roman"/>
                <w:color w:val="000000"/>
                <w:sz w:val="24"/>
              </w:rPr>
            </w:pPr>
          </w:p>
        </w:tc>
        <w:tc>
          <w:tcPr>
            <w:tcW w:w="1843" w:type="dxa"/>
            <w:shd w:val="clear" w:color="auto" w:fill="auto"/>
            <w:noWrap w:val="0"/>
            <w:vAlign w:val="center"/>
          </w:tcPr>
          <w:p>
            <w:pPr>
              <w:spacing w:line="360" w:lineRule="exact"/>
              <w:jc w:val="center"/>
              <w:rPr>
                <w:rFonts w:ascii="Times New Roman"/>
                <w:color w:val="000000"/>
                <w:sz w:val="24"/>
              </w:rPr>
            </w:pPr>
          </w:p>
        </w:tc>
      </w:tr>
    </w:tbl>
    <w:p>
      <w:pPr>
        <w:spacing w:line="560" w:lineRule="exact"/>
        <w:ind w:firstLine="600" w:firstLineChars="250"/>
        <w:rPr>
          <w:rFonts w:ascii="Times New Roman"/>
          <w:color w:val="000000"/>
          <w:sz w:val="24"/>
        </w:rPr>
      </w:pPr>
      <w:r>
        <w:rPr>
          <w:rFonts w:ascii="Times New Roman"/>
          <w:color w:val="000000"/>
          <w:sz w:val="24"/>
        </w:rPr>
        <w:t>填报人：                                                                  审核人：</w:t>
      </w:r>
    </w:p>
    <w:p>
      <w:pPr>
        <w:spacing w:line="560" w:lineRule="exact"/>
        <w:ind w:firstLine="600" w:firstLineChars="250"/>
        <w:rPr>
          <w:rFonts w:ascii="Times New Roman"/>
          <w:color w:val="000000"/>
          <w:sz w:val="24"/>
        </w:rPr>
      </w:pPr>
      <w:r>
        <w:rPr>
          <w:rFonts w:ascii="Times New Roman"/>
          <w:color w:val="000000"/>
          <w:sz w:val="24"/>
        </w:rPr>
        <w:t>备注：各区教育局根据本区实际情况填报，各学校按本单位已开展的工作填报实际情况填报。</w:t>
      </w:r>
    </w:p>
    <w:p>
      <w:pPr>
        <w:spacing w:line="560" w:lineRule="exact"/>
        <w:rPr>
          <w:rFonts w:hint="eastAsia" w:ascii="Times New Roman" w:eastAsia="黑体"/>
          <w:color w:val="000000"/>
          <w:szCs w:val="32"/>
        </w:rPr>
      </w:pPr>
    </w:p>
    <w:p>
      <w:pPr>
        <w:spacing w:line="560" w:lineRule="exact"/>
        <w:rPr>
          <w:rFonts w:ascii="黑体" w:hAnsi="黑体" w:eastAsia="黑体"/>
          <w:color w:val="000000"/>
          <w:szCs w:val="32"/>
        </w:rPr>
      </w:pPr>
      <w:r>
        <w:rPr>
          <w:rFonts w:ascii="黑体" w:hAnsi="黑体" w:eastAsia="黑体"/>
          <w:color w:val="000000"/>
          <w:szCs w:val="32"/>
        </w:rPr>
        <w:t>附件4</w:t>
      </w:r>
    </w:p>
    <w:p>
      <w:pPr>
        <w:spacing w:line="560" w:lineRule="exact"/>
        <w:rPr>
          <w:rFonts w:ascii="Times New Roman" w:eastAsia="黑体"/>
          <w:color w:val="000000"/>
          <w:szCs w:val="32"/>
        </w:rPr>
      </w:pPr>
    </w:p>
    <w:p>
      <w:pPr>
        <w:spacing w:line="560" w:lineRule="exact"/>
        <w:jc w:val="center"/>
        <w:rPr>
          <w:rFonts w:hint="eastAsia" w:ascii="Times New Roman" w:eastAsia="方正小标宋_GBK"/>
          <w:color w:val="000000"/>
          <w:sz w:val="44"/>
          <w:szCs w:val="44"/>
        </w:rPr>
      </w:pPr>
      <w:r>
        <w:rPr>
          <w:rFonts w:ascii="Times New Roman" w:eastAsia="方正小标宋_GBK"/>
          <w:color w:val="000000"/>
          <w:sz w:val="44"/>
          <w:szCs w:val="44"/>
        </w:rPr>
        <w:t>广州市教育系统受影响、受灾情况统计表</w:t>
      </w:r>
    </w:p>
    <w:p>
      <w:pPr>
        <w:spacing w:line="560" w:lineRule="exact"/>
        <w:rPr>
          <w:rFonts w:hint="eastAsia"/>
          <w:color w:val="000000"/>
          <w:szCs w:val="32"/>
        </w:rPr>
      </w:pPr>
    </w:p>
    <w:tbl>
      <w:tblPr>
        <w:tblStyle w:val="3"/>
        <w:tblW w:w="14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95"/>
        <w:gridCol w:w="495"/>
        <w:gridCol w:w="510"/>
        <w:gridCol w:w="510"/>
        <w:gridCol w:w="544"/>
        <w:gridCol w:w="544"/>
        <w:gridCol w:w="578"/>
        <w:gridCol w:w="578"/>
        <w:gridCol w:w="535"/>
        <w:gridCol w:w="535"/>
        <w:gridCol w:w="936"/>
        <w:gridCol w:w="936"/>
        <w:gridCol w:w="936"/>
        <w:gridCol w:w="936"/>
        <w:gridCol w:w="864"/>
        <w:gridCol w:w="840"/>
        <w:gridCol w:w="895"/>
        <w:gridCol w:w="910"/>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4311" w:type="dxa"/>
            <w:gridSpan w:val="20"/>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填报单位（盖章）：                                                             填报时间：  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563" w:type="dxa"/>
            <w:vMerge w:val="restart"/>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单位</w:t>
            </w:r>
          </w:p>
        </w:tc>
        <w:tc>
          <w:tcPr>
            <w:tcW w:w="990"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低洼、易涝区学校</w:t>
            </w:r>
          </w:p>
        </w:tc>
        <w:tc>
          <w:tcPr>
            <w:tcW w:w="1020"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山体或边坡旁学校</w:t>
            </w:r>
          </w:p>
        </w:tc>
        <w:tc>
          <w:tcPr>
            <w:tcW w:w="1088"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在建</w:t>
            </w:r>
          </w:p>
          <w:p>
            <w:pPr>
              <w:spacing w:line="360" w:lineRule="exact"/>
              <w:jc w:val="center"/>
              <w:rPr>
                <w:rFonts w:ascii="Times New Roman"/>
                <w:color w:val="000000"/>
                <w:sz w:val="24"/>
              </w:rPr>
            </w:pPr>
            <w:r>
              <w:rPr>
                <w:rFonts w:ascii="Times New Roman"/>
                <w:color w:val="000000"/>
                <w:sz w:val="24"/>
              </w:rPr>
              <w:t>工地</w:t>
            </w:r>
          </w:p>
        </w:tc>
        <w:tc>
          <w:tcPr>
            <w:tcW w:w="1156"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地质</w:t>
            </w:r>
          </w:p>
          <w:p>
            <w:pPr>
              <w:spacing w:line="360" w:lineRule="exact"/>
              <w:jc w:val="center"/>
              <w:rPr>
                <w:rFonts w:ascii="Times New Roman"/>
                <w:color w:val="000000"/>
                <w:sz w:val="24"/>
              </w:rPr>
            </w:pPr>
            <w:r>
              <w:rPr>
                <w:rFonts w:ascii="Times New Roman"/>
                <w:color w:val="000000"/>
                <w:sz w:val="24"/>
              </w:rPr>
              <w:t>灾害点</w:t>
            </w:r>
          </w:p>
        </w:tc>
        <w:tc>
          <w:tcPr>
            <w:tcW w:w="1070"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其他</w:t>
            </w:r>
          </w:p>
        </w:tc>
        <w:tc>
          <w:tcPr>
            <w:tcW w:w="1872"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避灾涉险</w:t>
            </w:r>
          </w:p>
          <w:p>
            <w:pPr>
              <w:spacing w:line="360" w:lineRule="exact"/>
              <w:jc w:val="center"/>
              <w:rPr>
                <w:rFonts w:ascii="Times New Roman"/>
                <w:color w:val="000000"/>
                <w:sz w:val="24"/>
              </w:rPr>
            </w:pPr>
            <w:r>
              <w:rPr>
                <w:rFonts w:ascii="Times New Roman"/>
                <w:color w:val="000000"/>
                <w:sz w:val="24"/>
              </w:rPr>
              <w:t>人员转移</w:t>
            </w:r>
          </w:p>
        </w:tc>
        <w:tc>
          <w:tcPr>
            <w:tcW w:w="1872"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避灾涉险</w:t>
            </w:r>
          </w:p>
          <w:p>
            <w:pPr>
              <w:spacing w:line="360" w:lineRule="exact"/>
              <w:jc w:val="center"/>
              <w:rPr>
                <w:rFonts w:ascii="Times New Roman"/>
                <w:color w:val="000000"/>
                <w:sz w:val="24"/>
              </w:rPr>
            </w:pPr>
            <w:r>
              <w:rPr>
                <w:rFonts w:ascii="Times New Roman"/>
                <w:color w:val="000000"/>
                <w:sz w:val="24"/>
              </w:rPr>
              <w:t>人员安置</w:t>
            </w:r>
          </w:p>
        </w:tc>
        <w:tc>
          <w:tcPr>
            <w:tcW w:w="1704" w:type="dxa"/>
            <w:gridSpan w:val="2"/>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人员伤亡</w:t>
            </w:r>
          </w:p>
        </w:tc>
        <w:tc>
          <w:tcPr>
            <w:tcW w:w="2976" w:type="dxa"/>
            <w:gridSpan w:val="3"/>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563" w:type="dxa"/>
            <w:vMerge w:val="continue"/>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处</w:t>
            </w:r>
          </w:p>
        </w:tc>
        <w:tc>
          <w:tcPr>
            <w:tcW w:w="495"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受影响人数</w:t>
            </w:r>
          </w:p>
        </w:tc>
        <w:tc>
          <w:tcPr>
            <w:tcW w:w="510"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处</w:t>
            </w:r>
          </w:p>
        </w:tc>
        <w:tc>
          <w:tcPr>
            <w:tcW w:w="510"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受影响人数</w:t>
            </w:r>
          </w:p>
        </w:tc>
        <w:tc>
          <w:tcPr>
            <w:tcW w:w="544"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处</w:t>
            </w:r>
          </w:p>
        </w:tc>
        <w:tc>
          <w:tcPr>
            <w:tcW w:w="544"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受影响人数</w:t>
            </w:r>
          </w:p>
        </w:tc>
        <w:tc>
          <w:tcPr>
            <w:tcW w:w="578"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处</w:t>
            </w:r>
          </w:p>
        </w:tc>
        <w:tc>
          <w:tcPr>
            <w:tcW w:w="578"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受影响人数</w:t>
            </w:r>
          </w:p>
        </w:tc>
        <w:tc>
          <w:tcPr>
            <w:tcW w:w="535"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处</w:t>
            </w:r>
          </w:p>
        </w:tc>
        <w:tc>
          <w:tcPr>
            <w:tcW w:w="535"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受影响人数</w:t>
            </w:r>
          </w:p>
        </w:tc>
        <w:tc>
          <w:tcPr>
            <w:tcW w:w="936"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应转移人数（人）</w:t>
            </w:r>
          </w:p>
        </w:tc>
        <w:tc>
          <w:tcPr>
            <w:tcW w:w="936"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已转移人数（人）</w:t>
            </w:r>
          </w:p>
        </w:tc>
        <w:tc>
          <w:tcPr>
            <w:tcW w:w="936"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集中</w:t>
            </w:r>
          </w:p>
          <w:p>
            <w:pPr>
              <w:spacing w:line="360" w:lineRule="exact"/>
              <w:jc w:val="center"/>
              <w:rPr>
                <w:rFonts w:ascii="Times New Roman"/>
                <w:color w:val="000000"/>
                <w:sz w:val="24"/>
              </w:rPr>
            </w:pPr>
            <w:r>
              <w:rPr>
                <w:rFonts w:ascii="Times New Roman"/>
                <w:color w:val="000000"/>
                <w:sz w:val="24"/>
              </w:rPr>
              <w:t>安置（人）</w:t>
            </w:r>
          </w:p>
        </w:tc>
        <w:tc>
          <w:tcPr>
            <w:tcW w:w="936"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回家或其他形式（人）</w:t>
            </w:r>
          </w:p>
        </w:tc>
        <w:tc>
          <w:tcPr>
            <w:tcW w:w="864"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死</w:t>
            </w:r>
          </w:p>
          <w:p>
            <w:pPr>
              <w:spacing w:line="360" w:lineRule="exact"/>
              <w:jc w:val="center"/>
              <w:rPr>
                <w:rFonts w:ascii="Times New Roman"/>
                <w:color w:val="000000"/>
                <w:sz w:val="24"/>
              </w:rPr>
            </w:pPr>
            <w:r>
              <w:rPr>
                <w:rFonts w:ascii="Times New Roman"/>
                <w:color w:val="000000"/>
                <w:sz w:val="24"/>
              </w:rPr>
              <w:t>（人）</w:t>
            </w:r>
          </w:p>
        </w:tc>
        <w:tc>
          <w:tcPr>
            <w:tcW w:w="840"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伤</w:t>
            </w:r>
          </w:p>
          <w:p>
            <w:pPr>
              <w:spacing w:line="360" w:lineRule="exact"/>
              <w:jc w:val="center"/>
              <w:rPr>
                <w:rFonts w:ascii="Times New Roman"/>
                <w:color w:val="000000"/>
                <w:sz w:val="24"/>
              </w:rPr>
            </w:pPr>
            <w:r>
              <w:rPr>
                <w:rFonts w:ascii="Times New Roman"/>
                <w:color w:val="000000"/>
                <w:sz w:val="24"/>
              </w:rPr>
              <w:t>（人）</w:t>
            </w:r>
          </w:p>
        </w:tc>
        <w:tc>
          <w:tcPr>
            <w:tcW w:w="895"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房屋（间）</w:t>
            </w:r>
          </w:p>
        </w:tc>
        <w:tc>
          <w:tcPr>
            <w:tcW w:w="910"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其他（处）</w:t>
            </w:r>
          </w:p>
        </w:tc>
        <w:tc>
          <w:tcPr>
            <w:tcW w:w="1171" w:type="dxa"/>
            <w:shd w:val="clear" w:color="auto" w:fill="auto"/>
            <w:noWrap w:val="0"/>
            <w:vAlign w:val="center"/>
          </w:tcPr>
          <w:p>
            <w:pPr>
              <w:spacing w:line="360" w:lineRule="exact"/>
              <w:jc w:val="center"/>
              <w:rPr>
                <w:rFonts w:ascii="Times New Roman"/>
                <w:color w:val="000000"/>
                <w:sz w:val="24"/>
              </w:rPr>
            </w:pPr>
            <w:r>
              <w:rPr>
                <w:rFonts w:ascii="Times New Roman"/>
                <w:color w:val="000000"/>
                <w:sz w:val="24"/>
              </w:rPr>
              <w:t>直接经济损失（元）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3"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864" w:type="dxa"/>
            <w:shd w:val="clear" w:color="auto" w:fill="auto"/>
            <w:noWrap w:val="0"/>
            <w:vAlign w:val="center"/>
          </w:tcPr>
          <w:p>
            <w:pPr>
              <w:spacing w:line="360" w:lineRule="exact"/>
              <w:jc w:val="center"/>
              <w:rPr>
                <w:rFonts w:ascii="Times New Roman"/>
                <w:color w:val="000000"/>
                <w:sz w:val="24"/>
              </w:rPr>
            </w:pPr>
          </w:p>
        </w:tc>
        <w:tc>
          <w:tcPr>
            <w:tcW w:w="840" w:type="dxa"/>
            <w:shd w:val="clear" w:color="auto" w:fill="auto"/>
            <w:noWrap w:val="0"/>
            <w:vAlign w:val="center"/>
          </w:tcPr>
          <w:p>
            <w:pPr>
              <w:spacing w:line="360" w:lineRule="exact"/>
              <w:jc w:val="center"/>
              <w:rPr>
                <w:rFonts w:ascii="Times New Roman"/>
                <w:color w:val="000000"/>
                <w:sz w:val="24"/>
              </w:rPr>
            </w:pPr>
          </w:p>
        </w:tc>
        <w:tc>
          <w:tcPr>
            <w:tcW w:w="895" w:type="dxa"/>
            <w:shd w:val="clear" w:color="auto" w:fill="auto"/>
            <w:noWrap w:val="0"/>
            <w:vAlign w:val="center"/>
          </w:tcPr>
          <w:p>
            <w:pPr>
              <w:spacing w:line="360" w:lineRule="exact"/>
              <w:jc w:val="center"/>
              <w:rPr>
                <w:rFonts w:ascii="Times New Roman"/>
                <w:color w:val="000000"/>
                <w:sz w:val="24"/>
              </w:rPr>
            </w:pPr>
          </w:p>
        </w:tc>
        <w:tc>
          <w:tcPr>
            <w:tcW w:w="910" w:type="dxa"/>
            <w:shd w:val="clear" w:color="auto" w:fill="auto"/>
            <w:noWrap w:val="0"/>
            <w:vAlign w:val="center"/>
          </w:tcPr>
          <w:p>
            <w:pPr>
              <w:spacing w:line="360" w:lineRule="exact"/>
              <w:jc w:val="center"/>
              <w:rPr>
                <w:rFonts w:ascii="Times New Roman"/>
                <w:color w:val="000000"/>
                <w:sz w:val="24"/>
              </w:rPr>
            </w:pPr>
          </w:p>
        </w:tc>
        <w:tc>
          <w:tcPr>
            <w:tcW w:w="1171"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3"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864" w:type="dxa"/>
            <w:shd w:val="clear" w:color="auto" w:fill="auto"/>
            <w:noWrap w:val="0"/>
            <w:vAlign w:val="center"/>
          </w:tcPr>
          <w:p>
            <w:pPr>
              <w:spacing w:line="360" w:lineRule="exact"/>
              <w:jc w:val="center"/>
              <w:rPr>
                <w:rFonts w:ascii="Times New Roman"/>
                <w:color w:val="000000"/>
                <w:sz w:val="24"/>
              </w:rPr>
            </w:pPr>
          </w:p>
        </w:tc>
        <w:tc>
          <w:tcPr>
            <w:tcW w:w="840" w:type="dxa"/>
            <w:shd w:val="clear" w:color="auto" w:fill="auto"/>
            <w:noWrap w:val="0"/>
            <w:vAlign w:val="center"/>
          </w:tcPr>
          <w:p>
            <w:pPr>
              <w:spacing w:line="360" w:lineRule="exact"/>
              <w:jc w:val="center"/>
              <w:rPr>
                <w:rFonts w:ascii="Times New Roman"/>
                <w:color w:val="000000"/>
                <w:sz w:val="24"/>
              </w:rPr>
            </w:pPr>
          </w:p>
        </w:tc>
        <w:tc>
          <w:tcPr>
            <w:tcW w:w="895" w:type="dxa"/>
            <w:shd w:val="clear" w:color="auto" w:fill="auto"/>
            <w:noWrap w:val="0"/>
            <w:vAlign w:val="center"/>
          </w:tcPr>
          <w:p>
            <w:pPr>
              <w:spacing w:line="360" w:lineRule="exact"/>
              <w:jc w:val="center"/>
              <w:rPr>
                <w:rFonts w:ascii="Times New Roman"/>
                <w:color w:val="000000"/>
                <w:sz w:val="24"/>
              </w:rPr>
            </w:pPr>
          </w:p>
        </w:tc>
        <w:tc>
          <w:tcPr>
            <w:tcW w:w="910" w:type="dxa"/>
            <w:shd w:val="clear" w:color="auto" w:fill="auto"/>
            <w:noWrap w:val="0"/>
            <w:vAlign w:val="center"/>
          </w:tcPr>
          <w:p>
            <w:pPr>
              <w:spacing w:line="360" w:lineRule="exact"/>
              <w:jc w:val="center"/>
              <w:rPr>
                <w:rFonts w:ascii="Times New Roman"/>
                <w:color w:val="000000"/>
                <w:sz w:val="24"/>
              </w:rPr>
            </w:pPr>
          </w:p>
        </w:tc>
        <w:tc>
          <w:tcPr>
            <w:tcW w:w="1171"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3"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864" w:type="dxa"/>
            <w:shd w:val="clear" w:color="auto" w:fill="auto"/>
            <w:noWrap w:val="0"/>
            <w:vAlign w:val="center"/>
          </w:tcPr>
          <w:p>
            <w:pPr>
              <w:spacing w:line="360" w:lineRule="exact"/>
              <w:jc w:val="center"/>
              <w:rPr>
                <w:rFonts w:ascii="Times New Roman"/>
                <w:color w:val="000000"/>
                <w:sz w:val="24"/>
              </w:rPr>
            </w:pPr>
          </w:p>
        </w:tc>
        <w:tc>
          <w:tcPr>
            <w:tcW w:w="840" w:type="dxa"/>
            <w:shd w:val="clear" w:color="auto" w:fill="auto"/>
            <w:noWrap w:val="0"/>
            <w:vAlign w:val="center"/>
          </w:tcPr>
          <w:p>
            <w:pPr>
              <w:spacing w:line="360" w:lineRule="exact"/>
              <w:jc w:val="center"/>
              <w:rPr>
                <w:rFonts w:ascii="Times New Roman"/>
                <w:color w:val="000000"/>
                <w:sz w:val="24"/>
              </w:rPr>
            </w:pPr>
          </w:p>
        </w:tc>
        <w:tc>
          <w:tcPr>
            <w:tcW w:w="895" w:type="dxa"/>
            <w:shd w:val="clear" w:color="auto" w:fill="auto"/>
            <w:noWrap w:val="0"/>
            <w:vAlign w:val="center"/>
          </w:tcPr>
          <w:p>
            <w:pPr>
              <w:spacing w:line="360" w:lineRule="exact"/>
              <w:jc w:val="center"/>
              <w:rPr>
                <w:rFonts w:ascii="Times New Roman"/>
                <w:color w:val="000000"/>
                <w:sz w:val="24"/>
              </w:rPr>
            </w:pPr>
          </w:p>
        </w:tc>
        <w:tc>
          <w:tcPr>
            <w:tcW w:w="910" w:type="dxa"/>
            <w:shd w:val="clear" w:color="auto" w:fill="auto"/>
            <w:noWrap w:val="0"/>
            <w:vAlign w:val="center"/>
          </w:tcPr>
          <w:p>
            <w:pPr>
              <w:spacing w:line="360" w:lineRule="exact"/>
              <w:jc w:val="center"/>
              <w:rPr>
                <w:rFonts w:ascii="Times New Roman"/>
                <w:color w:val="000000"/>
                <w:sz w:val="24"/>
              </w:rPr>
            </w:pPr>
          </w:p>
        </w:tc>
        <w:tc>
          <w:tcPr>
            <w:tcW w:w="1171" w:type="dxa"/>
            <w:shd w:val="clear" w:color="auto" w:fill="auto"/>
            <w:noWrap w:val="0"/>
            <w:vAlign w:val="center"/>
          </w:tcPr>
          <w:p>
            <w:pPr>
              <w:spacing w:line="360" w:lineRule="exact"/>
              <w:jc w:val="center"/>
              <w:rPr>
                <w:rFonts w:ascii="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3"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495"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10"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44"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78"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535"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936" w:type="dxa"/>
            <w:shd w:val="clear" w:color="auto" w:fill="auto"/>
            <w:noWrap w:val="0"/>
            <w:vAlign w:val="center"/>
          </w:tcPr>
          <w:p>
            <w:pPr>
              <w:spacing w:line="360" w:lineRule="exact"/>
              <w:jc w:val="center"/>
              <w:rPr>
                <w:rFonts w:ascii="Times New Roman"/>
                <w:color w:val="000000"/>
                <w:sz w:val="24"/>
              </w:rPr>
            </w:pPr>
          </w:p>
        </w:tc>
        <w:tc>
          <w:tcPr>
            <w:tcW w:w="864" w:type="dxa"/>
            <w:shd w:val="clear" w:color="auto" w:fill="auto"/>
            <w:noWrap w:val="0"/>
            <w:vAlign w:val="center"/>
          </w:tcPr>
          <w:p>
            <w:pPr>
              <w:spacing w:line="360" w:lineRule="exact"/>
              <w:jc w:val="center"/>
              <w:rPr>
                <w:rFonts w:ascii="Times New Roman"/>
                <w:color w:val="000000"/>
                <w:sz w:val="24"/>
              </w:rPr>
            </w:pPr>
          </w:p>
        </w:tc>
        <w:tc>
          <w:tcPr>
            <w:tcW w:w="840" w:type="dxa"/>
            <w:shd w:val="clear" w:color="auto" w:fill="auto"/>
            <w:noWrap w:val="0"/>
            <w:vAlign w:val="center"/>
          </w:tcPr>
          <w:p>
            <w:pPr>
              <w:spacing w:line="360" w:lineRule="exact"/>
              <w:jc w:val="center"/>
              <w:rPr>
                <w:rFonts w:ascii="Times New Roman"/>
                <w:color w:val="000000"/>
                <w:sz w:val="24"/>
              </w:rPr>
            </w:pPr>
          </w:p>
        </w:tc>
        <w:tc>
          <w:tcPr>
            <w:tcW w:w="895" w:type="dxa"/>
            <w:shd w:val="clear" w:color="auto" w:fill="auto"/>
            <w:noWrap w:val="0"/>
            <w:vAlign w:val="center"/>
          </w:tcPr>
          <w:p>
            <w:pPr>
              <w:spacing w:line="360" w:lineRule="exact"/>
              <w:jc w:val="center"/>
              <w:rPr>
                <w:rFonts w:ascii="Times New Roman"/>
                <w:color w:val="000000"/>
                <w:sz w:val="24"/>
              </w:rPr>
            </w:pPr>
          </w:p>
        </w:tc>
        <w:tc>
          <w:tcPr>
            <w:tcW w:w="910" w:type="dxa"/>
            <w:shd w:val="clear" w:color="auto" w:fill="auto"/>
            <w:noWrap w:val="0"/>
            <w:vAlign w:val="center"/>
          </w:tcPr>
          <w:p>
            <w:pPr>
              <w:spacing w:line="360" w:lineRule="exact"/>
              <w:jc w:val="center"/>
              <w:rPr>
                <w:rFonts w:ascii="Times New Roman"/>
                <w:color w:val="000000"/>
                <w:sz w:val="24"/>
              </w:rPr>
            </w:pPr>
          </w:p>
        </w:tc>
        <w:tc>
          <w:tcPr>
            <w:tcW w:w="1171" w:type="dxa"/>
            <w:shd w:val="clear" w:color="auto" w:fill="auto"/>
            <w:noWrap w:val="0"/>
            <w:vAlign w:val="center"/>
          </w:tcPr>
          <w:p>
            <w:pPr>
              <w:spacing w:line="360" w:lineRule="exact"/>
              <w:jc w:val="center"/>
              <w:rPr>
                <w:rFonts w:ascii="Times New Roman"/>
                <w:color w:val="000000"/>
                <w:sz w:val="24"/>
              </w:rPr>
            </w:pPr>
          </w:p>
        </w:tc>
      </w:tr>
    </w:tbl>
    <w:p>
      <w:pPr>
        <w:spacing w:line="560" w:lineRule="exact"/>
        <w:rPr>
          <w:rFonts w:hint="eastAsia" w:ascii="Times New Roman"/>
          <w:color w:val="000000"/>
          <w:sz w:val="24"/>
        </w:rPr>
      </w:pPr>
      <w:r>
        <w:rPr>
          <w:rFonts w:ascii="Times New Roman"/>
          <w:color w:val="000000"/>
          <w:sz w:val="24"/>
        </w:rPr>
        <w:t>填报人：                                                                  审核人：</w:t>
      </w:r>
    </w:p>
    <w:p>
      <w:pPr>
        <w:spacing w:line="560" w:lineRule="exact"/>
        <w:rPr>
          <w:rFonts w:ascii="Times New Roman" w:eastAsia="黑体"/>
          <w:color w:val="000000"/>
          <w:szCs w:val="32"/>
        </w:rPr>
      </w:pPr>
    </w:p>
    <w:p>
      <w:pPr>
        <w:spacing w:line="560" w:lineRule="exact"/>
        <w:rPr>
          <w:rFonts w:ascii="Times New Roman" w:eastAsia="黑体"/>
          <w:color w:val="000000"/>
          <w:szCs w:val="32"/>
        </w:rPr>
        <w:sectPr>
          <w:pgSz w:w="16838" w:h="11906" w:orient="landscape"/>
          <w:pgMar w:top="1134" w:right="1134" w:bottom="1134" w:left="1134" w:header="851" w:footer="1247" w:gutter="0"/>
          <w:pgNumType w:fmt="numberInDash"/>
          <w:cols w:space="425" w:num="1"/>
          <w:docGrid w:linePitch="435" w:charSpace="1220"/>
        </w:sectPr>
      </w:pPr>
    </w:p>
    <w:p>
      <w:pPr>
        <w:spacing w:line="560" w:lineRule="exact"/>
        <w:rPr>
          <w:rFonts w:ascii="黑体" w:hAnsi="黑体" w:eastAsia="黑体"/>
          <w:color w:val="000000"/>
          <w:szCs w:val="32"/>
        </w:rPr>
      </w:pPr>
      <w:r>
        <w:rPr>
          <w:rFonts w:ascii="黑体" w:hAnsi="黑体" w:eastAsia="黑体"/>
          <w:color w:val="000000"/>
          <w:szCs w:val="32"/>
        </w:rPr>
        <w:t>附件5</w:t>
      </w:r>
    </w:p>
    <w:p>
      <w:pPr>
        <w:spacing w:line="560" w:lineRule="exact"/>
        <w:rPr>
          <w:rFonts w:ascii="Times New Roman" w:eastAsia="黑体"/>
          <w:color w:val="000000"/>
          <w:szCs w:val="32"/>
        </w:rPr>
      </w:pPr>
    </w:p>
    <w:p>
      <w:pPr>
        <w:spacing w:line="560" w:lineRule="exact"/>
        <w:jc w:val="center"/>
        <w:rPr>
          <w:rFonts w:ascii="Times New Roman" w:eastAsia="方正小标宋_GBK"/>
          <w:color w:val="000000"/>
          <w:sz w:val="44"/>
          <w:szCs w:val="44"/>
        </w:rPr>
      </w:pPr>
      <w:r>
        <w:rPr>
          <w:rFonts w:ascii="Times New Roman" w:eastAsia="方正小标宋_GBK"/>
          <w:color w:val="000000"/>
          <w:sz w:val="44"/>
          <w:szCs w:val="44"/>
        </w:rPr>
        <w:t>广州市教育系统应对台风灾害指引</w:t>
      </w:r>
    </w:p>
    <w:p>
      <w:pPr>
        <w:spacing w:line="560" w:lineRule="exact"/>
        <w:rPr>
          <w:rFonts w:ascii="Times New Roman" w:eastAsia="黑体"/>
          <w:color w:val="000000"/>
          <w:szCs w:val="32"/>
        </w:rPr>
      </w:pPr>
    </w:p>
    <w:p>
      <w:pPr>
        <w:spacing w:line="560" w:lineRule="exact"/>
        <w:ind w:firstLine="640" w:firstLineChars="200"/>
        <w:rPr>
          <w:rFonts w:ascii="Times New Roman"/>
          <w:color w:val="000000"/>
          <w:szCs w:val="32"/>
        </w:rPr>
      </w:pPr>
      <w:r>
        <w:rPr>
          <w:rFonts w:ascii="Times New Roman"/>
          <w:color w:val="000000"/>
          <w:szCs w:val="32"/>
        </w:rPr>
        <w:t>台风预警信号分五级，分别以白色、蓝色、黄色、橙色和红色表示。</w:t>
      </w:r>
    </w:p>
    <w:p>
      <w:pPr>
        <w:spacing w:line="560" w:lineRule="exact"/>
        <w:ind w:firstLine="640" w:firstLineChars="200"/>
        <w:rPr>
          <w:rFonts w:ascii="Times New Roman" w:eastAsia="黑体"/>
          <w:color w:val="000000"/>
          <w:szCs w:val="32"/>
        </w:rPr>
      </w:pPr>
      <w:r>
        <w:rPr>
          <w:rFonts w:ascii="Times New Roman" w:eastAsia="黑体"/>
          <w:color w:val="000000"/>
          <w:szCs w:val="32"/>
        </w:rPr>
        <w:t>一、台风白色预警信号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1144270" cy="920750"/>
            <wp:effectExtent l="0" t="0" r="1778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144270" cy="920750"/>
                    </a:xfrm>
                    <a:prstGeom prst="rect">
                      <a:avLst/>
                    </a:prstGeom>
                    <a:noFill/>
                    <a:ln>
                      <a:noFill/>
                    </a:ln>
                  </pic:spPr>
                </pic:pic>
              </a:graphicData>
            </a:graphic>
          </wp:inline>
        </w:drawing>
      </w:r>
    </w:p>
    <w:p>
      <w:pPr>
        <w:spacing w:line="560" w:lineRule="exact"/>
        <w:ind w:firstLine="640" w:firstLineChars="200"/>
        <w:rPr>
          <w:rFonts w:ascii="Times New Roman"/>
          <w:color w:val="000000"/>
          <w:szCs w:val="32"/>
        </w:rPr>
      </w:pPr>
      <w:r>
        <w:rPr>
          <w:rFonts w:ascii="Times New Roman"/>
          <w:color w:val="000000"/>
          <w:szCs w:val="32"/>
        </w:rPr>
        <w:t>含义：48小时内将受台风影响。</w:t>
      </w:r>
    </w:p>
    <w:p>
      <w:pPr>
        <w:spacing w:line="560" w:lineRule="exact"/>
        <w:ind w:firstLine="720" w:firstLineChars="200"/>
        <w:rPr>
          <w:rFonts w:ascii="Times New Roman" w:eastAsia="黑体"/>
          <w:color w:val="000000"/>
          <w:spacing w:val="20"/>
          <w:kern w:val="18"/>
          <w:szCs w:val="32"/>
        </w:rPr>
      </w:pPr>
      <w:r>
        <w:rPr>
          <w:rFonts w:ascii="Times New Roman" w:eastAsia="黑体"/>
          <w:color w:val="000000"/>
          <w:spacing w:val="20"/>
          <w:kern w:val="18"/>
          <w:szCs w:val="32"/>
        </w:rPr>
        <w:t>应对指引</w:t>
      </w:r>
      <w:r>
        <w:rPr>
          <w:rFonts w:ascii="Times New Roman"/>
          <w:color w:val="000000"/>
          <w:szCs w:val="32"/>
        </w:rPr>
        <w:t>：</w:t>
      </w:r>
    </w:p>
    <w:p>
      <w:pPr>
        <w:spacing w:line="560" w:lineRule="exact"/>
        <w:ind w:firstLine="640" w:firstLineChars="200"/>
        <w:rPr>
          <w:rFonts w:ascii="Times New Roman"/>
          <w:color w:val="000000"/>
          <w:szCs w:val="32"/>
        </w:rPr>
      </w:pPr>
      <w:r>
        <w:rPr>
          <w:rFonts w:ascii="Times New Roman"/>
          <w:color w:val="000000"/>
          <w:szCs w:val="32"/>
        </w:rPr>
        <w:t>1.进入台风注意状态，警惕台风对当地学校的影响。</w:t>
      </w:r>
    </w:p>
    <w:p>
      <w:pPr>
        <w:spacing w:line="560" w:lineRule="exact"/>
        <w:ind w:firstLine="640" w:firstLineChars="200"/>
        <w:rPr>
          <w:rFonts w:ascii="Times New Roman"/>
          <w:color w:val="000000"/>
          <w:szCs w:val="32"/>
        </w:rPr>
      </w:pPr>
      <w:r>
        <w:rPr>
          <w:rFonts w:ascii="Times New Roman"/>
          <w:color w:val="000000"/>
          <w:szCs w:val="32"/>
        </w:rPr>
        <w:t>2.注意通过气象信息传播渠道(广播、电视、报纸、电话、手机短信、传真、网站、微信、微博、电子显示屏、甚高频智能大喇叭和信息接收机、手机“停课铃”APP等)了解台风最新情况，做好防台风准备。</w:t>
      </w:r>
    </w:p>
    <w:p>
      <w:pPr>
        <w:spacing w:line="560" w:lineRule="exact"/>
        <w:ind w:firstLine="640" w:firstLineChars="200"/>
        <w:rPr>
          <w:rFonts w:ascii="Times New Roman" w:eastAsia="黑体"/>
          <w:color w:val="000000"/>
          <w:szCs w:val="32"/>
        </w:rPr>
      </w:pPr>
      <w:r>
        <w:rPr>
          <w:rFonts w:ascii="Times New Roman" w:eastAsia="黑体"/>
          <w:color w:val="000000"/>
          <w:szCs w:val="32"/>
        </w:rPr>
        <w:t>二、台风蓝色预警信号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1166495" cy="946785"/>
            <wp:effectExtent l="0" t="0" r="146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166495" cy="946785"/>
                    </a:xfrm>
                    <a:prstGeom prst="rect">
                      <a:avLst/>
                    </a:prstGeom>
                    <a:noFill/>
                    <a:ln>
                      <a:noFill/>
                    </a:ln>
                  </pic:spPr>
                </pic:pic>
              </a:graphicData>
            </a:graphic>
          </wp:inline>
        </w:drawing>
      </w:r>
    </w:p>
    <w:p>
      <w:pPr>
        <w:spacing w:line="560" w:lineRule="exact"/>
        <w:ind w:firstLine="672" w:firstLineChars="210"/>
        <w:rPr>
          <w:rFonts w:ascii="Times New Roman"/>
          <w:color w:val="000000"/>
          <w:szCs w:val="32"/>
        </w:rPr>
      </w:pPr>
      <w:r>
        <w:rPr>
          <w:rFonts w:ascii="Times New Roman"/>
          <w:color w:val="000000"/>
          <w:szCs w:val="32"/>
        </w:rPr>
        <w:t>含义：24小时内将受台风影响，平均风力可达6级以上，或者阵风8级以上；或者已经受台风影响，平均风力为6～7级，或者阵风8～9级并将持续。</w:t>
      </w:r>
    </w:p>
    <w:p>
      <w:pPr>
        <w:spacing w:line="560" w:lineRule="exact"/>
        <w:ind w:firstLine="672" w:firstLineChars="210"/>
        <w:rPr>
          <w:rFonts w:ascii="Times New Roman"/>
          <w:color w:val="000000"/>
          <w:szCs w:val="32"/>
        </w:rPr>
      </w:pPr>
      <w:r>
        <w:rPr>
          <w:rFonts w:ascii="Times New Roman" w:eastAsia="黑体"/>
          <w:color w:val="000000"/>
          <w:szCs w:val="32"/>
        </w:rPr>
        <w:t>应对指引</w:t>
      </w:r>
      <w:r>
        <w:rPr>
          <w:rFonts w:ascii="Times New Roman"/>
          <w:color w:val="000000"/>
          <w:szCs w:val="32"/>
        </w:rPr>
        <w:t>：</w:t>
      </w:r>
    </w:p>
    <w:p>
      <w:pPr>
        <w:spacing w:line="560" w:lineRule="exact"/>
        <w:ind w:firstLine="672" w:firstLineChars="210"/>
        <w:rPr>
          <w:rFonts w:ascii="Times New Roman"/>
          <w:color w:val="000000"/>
          <w:szCs w:val="32"/>
        </w:rPr>
      </w:pPr>
      <w:r>
        <w:rPr>
          <w:rFonts w:ascii="Times New Roman"/>
          <w:color w:val="000000"/>
          <w:szCs w:val="32"/>
        </w:rPr>
        <w:t>1.进入台风戒备状态</w:t>
      </w:r>
      <w:bookmarkStart w:id="1" w:name="_Hlk27697045"/>
      <w:r>
        <w:rPr>
          <w:rFonts w:ascii="Times New Roman"/>
          <w:color w:val="000000"/>
          <w:szCs w:val="32"/>
        </w:rPr>
        <w:t>，做好防台风准备。</w:t>
      </w:r>
    </w:p>
    <w:p>
      <w:pPr>
        <w:spacing w:line="560" w:lineRule="exact"/>
        <w:ind w:firstLine="672" w:firstLineChars="210"/>
        <w:rPr>
          <w:rFonts w:ascii="Times New Roman"/>
          <w:color w:val="000000"/>
          <w:szCs w:val="32"/>
        </w:rPr>
      </w:pPr>
      <w:r>
        <w:rPr>
          <w:rFonts w:ascii="Times New Roman"/>
          <w:color w:val="000000"/>
          <w:szCs w:val="32"/>
        </w:rPr>
        <w:t>2</w:t>
      </w:r>
      <w:bookmarkEnd w:id="1"/>
      <w:r>
        <w:rPr>
          <w:rFonts w:ascii="Times New Roman"/>
          <w:color w:val="000000"/>
          <w:szCs w:val="32"/>
        </w:rPr>
        <w:t>.注意了解台风最新消息和政府及有关部门发布的防御台风通知。</w:t>
      </w:r>
    </w:p>
    <w:p>
      <w:pPr>
        <w:spacing w:line="560" w:lineRule="exact"/>
        <w:ind w:firstLine="672" w:firstLineChars="210"/>
        <w:rPr>
          <w:rFonts w:ascii="Times New Roman"/>
          <w:color w:val="000000"/>
          <w:szCs w:val="32"/>
        </w:rPr>
      </w:pPr>
      <w:r>
        <w:rPr>
          <w:rFonts w:ascii="Times New Roman"/>
          <w:color w:val="000000"/>
          <w:szCs w:val="32"/>
        </w:rPr>
        <w:t>3.学校应对建筑物门窗和临时搭建物、户外宣传栏等设施采取加固措施，妥善安置室外搁置物和悬挂物；检查电路、煤气、水管等设施是否安全。</w:t>
      </w:r>
    </w:p>
    <w:p>
      <w:pPr>
        <w:spacing w:line="560" w:lineRule="exact"/>
        <w:ind w:firstLine="672" w:firstLineChars="210"/>
        <w:rPr>
          <w:rFonts w:ascii="Times New Roman"/>
          <w:color w:val="000000"/>
          <w:szCs w:val="32"/>
        </w:rPr>
      </w:pPr>
      <w:r>
        <w:rPr>
          <w:rFonts w:ascii="Times New Roman"/>
          <w:color w:val="000000"/>
          <w:szCs w:val="32"/>
        </w:rPr>
        <w:t>4.暂停室外教学活动。</w:t>
      </w:r>
    </w:p>
    <w:p>
      <w:pPr>
        <w:spacing w:line="560" w:lineRule="exact"/>
        <w:ind w:firstLine="672" w:firstLineChars="210"/>
        <w:rPr>
          <w:rFonts w:ascii="Times New Roman"/>
          <w:color w:val="000000"/>
          <w:szCs w:val="32"/>
        </w:rPr>
      </w:pPr>
      <w:r>
        <w:rPr>
          <w:rFonts w:ascii="Times New Roman"/>
          <w:color w:val="000000"/>
          <w:szCs w:val="32"/>
        </w:rPr>
        <w:t>5.处于低洼地区、危房等危险区域的学校师生做好排水防涝和转移准备。</w:t>
      </w:r>
    </w:p>
    <w:p>
      <w:pPr>
        <w:spacing w:line="560" w:lineRule="exact"/>
        <w:ind w:firstLine="672" w:firstLineChars="210"/>
        <w:rPr>
          <w:rFonts w:ascii="Times New Roman" w:eastAsia="黑体"/>
          <w:color w:val="000000"/>
          <w:szCs w:val="32"/>
        </w:rPr>
      </w:pPr>
      <w:r>
        <w:rPr>
          <w:rFonts w:ascii="Times New Roman" w:eastAsia="黑体"/>
          <w:color w:val="000000"/>
          <w:szCs w:val="32"/>
        </w:rPr>
        <w:t>三、台风黄色预警信号</w:t>
      </w:r>
    </w:p>
    <w:p>
      <w:pPr>
        <w:ind w:firstLine="640" w:firstLineChars="200"/>
        <w:jc w:val="center"/>
        <w:rPr>
          <w:rFonts w:ascii="Times New Roman"/>
          <w:color w:val="000000"/>
          <w:szCs w:val="32"/>
        </w:rPr>
      </w:pPr>
      <w:r>
        <w:rPr>
          <w:rFonts w:ascii="Times New Roman"/>
          <w:color w:val="000000"/>
          <w:szCs w:val="32"/>
        </w:rPr>
        <w:t xml:space="preserve">图标： </w:t>
      </w:r>
      <w:r>
        <w:rPr>
          <w:rFonts w:ascii="Times New Roman"/>
          <w:color w:val="000000"/>
          <w:szCs w:val="32"/>
        </w:rPr>
        <w:drawing>
          <wp:inline distT="0" distB="0" distL="114300" distR="114300">
            <wp:extent cx="1161415" cy="980440"/>
            <wp:effectExtent l="0" t="0" r="63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51251" t="23470" r="22672" b="49780"/>
                    <a:stretch>
                      <a:fillRect/>
                    </a:stretch>
                  </pic:blipFill>
                  <pic:spPr>
                    <a:xfrm>
                      <a:off x="0" y="0"/>
                      <a:ext cx="1161415" cy="980440"/>
                    </a:xfrm>
                    <a:prstGeom prst="rect">
                      <a:avLst/>
                    </a:prstGeom>
                    <a:noFill/>
                    <a:ln>
                      <a:noFill/>
                    </a:ln>
                  </pic:spPr>
                </pic:pic>
              </a:graphicData>
            </a:graphic>
          </wp:inline>
        </w:drawing>
      </w:r>
    </w:p>
    <w:p>
      <w:pPr>
        <w:spacing w:line="560" w:lineRule="exact"/>
        <w:ind w:firstLine="672" w:firstLineChars="210"/>
        <w:rPr>
          <w:rFonts w:ascii="Times New Roman"/>
          <w:color w:val="000000"/>
          <w:szCs w:val="32"/>
        </w:rPr>
      </w:pPr>
      <w:r>
        <w:rPr>
          <w:rFonts w:ascii="Times New Roman"/>
          <w:color w:val="000000"/>
          <w:szCs w:val="32"/>
        </w:rPr>
        <w:t>含义：24小时内将受台风影响，平均风力可达8级以上,或者阵风10级以上；或者已经受台风影响，平均风力为8～9级，或者阵风10</w:t>
      </w:r>
      <w:bookmarkStart w:id="2" w:name="_Hlk27697392"/>
      <w:r>
        <w:rPr>
          <w:rFonts w:ascii="Times New Roman"/>
          <w:color w:val="000000"/>
          <w:szCs w:val="32"/>
        </w:rPr>
        <w:t>～</w:t>
      </w:r>
      <w:bookmarkEnd w:id="2"/>
      <w:r>
        <w:rPr>
          <w:rFonts w:ascii="Times New Roman"/>
          <w:color w:val="000000"/>
          <w:szCs w:val="32"/>
        </w:rPr>
        <w:t>11级并将持续。</w:t>
      </w:r>
    </w:p>
    <w:p>
      <w:pPr>
        <w:spacing w:line="560" w:lineRule="exact"/>
        <w:ind w:firstLine="672" w:firstLineChars="210"/>
        <w:rPr>
          <w:rFonts w:ascii="Times New Roman"/>
          <w:color w:val="000000"/>
          <w:szCs w:val="32"/>
        </w:rPr>
      </w:pPr>
      <w:r>
        <w:rPr>
          <w:rFonts w:ascii="Times New Roman" w:eastAsia="黑体"/>
          <w:color w:val="000000"/>
          <w:szCs w:val="32"/>
        </w:rPr>
        <w:t>应对指引</w:t>
      </w:r>
      <w:r>
        <w:rPr>
          <w:rFonts w:ascii="Times New Roman"/>
          <w:color w:val="000000"/>
          <w:szCs w:val="32"/>
        </w:rPr>
        <w:t>：</w:t>
      </w:r>
    </w:p>
    <w:p>
      <w:pPr>
        <w:spacing w:line="560" w:lineRule="exact"/>
        <w:ind w:firstLine="672" w:firstLineChars="210"/>
        <w:rPr>
          <w:rFonts w:ascii="Times New Roman"/>
          <w:color w:val="000000"/>
          <w:szCs w:val="32"/>
        </w:rPr>
      </w:pPr>
      <w:r>
        <w:rPr>
          <w:rFonts w:ascii="Times New Roman"/>
          <w:color w:val="000000"/>
          <w:szCs w:val="32"/>
        </w:rPr>
        <w:t xml:space="preserve">1.进入台风防御状态, </w:t>
      </w:r>
      <w:bookmarkStart w:id="3" w:name="_Hlk27697560"/>
      <w:r>
        <w:rPr>
          <w:rFonts w:ascii="Times New Roman"/>
          <w:color w:val="000000"/>
          <w:szCs w:val="32"/>
        </w:rPr>
        <w:t>各区教育局和学校</w:t>
      </w:r>
      <w:bookmarkEnd w:id="3"/>
      <w:r>
        <w:rPr>
          <w:rFonts w:ascii="Times New Roman"/>
          <w:color w:val="000000"/>
          <w:szCs w:val="32"/>
        </w:rPr>
        <w:t>应密切关注台风最新消息和政府及有关部门发布的防御台风通知。</w:t>
      </w:r>
    </w:p>
    <w:p>
      <w:pPr>
        <w:spacing w:line="560" w:lineRule="exact"/>
        <w:ind w:firstLine="672" w:firstLineChars="210"/>
        <w:rPr>
          <w:rFonts w:ascii="Times New Roman"/>
          <w:color w:val="000000"/>
          <w:szCs w:val="32"/>
        </w:rPr>
      </w:pPr>
      <w:r>
        <w:rPr>
          <w:rFonts w:ascii="Times New Roman"/>
          <w:color w:val="000000"/>
          <w:szCs w:val="32"/>
        </w:rPr>
        <w:t>2.中等职业学校、中小学校、特殊教育学校、幼儿园、托儿所应当停课</w:t>
      </w:r>
      <w:bookmarkStart w:id="4" w:name="_Hlk27697735"/>
      <w:r>
        <w:rPr>
          <w:rFonts w:ascii="Times New Roman"/>
          <w:color w:val="000000"/>
          <w:szCs w:val="32"/>
        </w:rPr>
        <w:t>，各区教育局和学校应向家长发布停课通知。</w:t>
      </w:r>
      <w:bookmarkEnd w:id="4"/>
      <w:r>
        <w:rPr>
          <w:rFonts w:ascii="Times New Roman"/>
          <w:color w:val="000000"/>
          <w:szCs w:val="32"/>
        </w:rPr>
        <w:t>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spacing w:line="560" w:lineRule="exact"/>
        <w:ind w:firstLine="672" w:firstLineChars="210"/>
        <w:rPr>
          <w:rFonts w:ascii="Times New Roman"/>
          <w:color w:val="000000"/>
          <w:szCs w:val="32"/>
        </w:rPr>
      </w:pPr>
      <w:r>
        <w:rPr>
          <w:rFonts w:ascii="Times New Roman"/>
          <w:color w:val="000000"/>
          <w:szCs w:val="32"/>
        </w:rPr>
        <w:t>3.各学校应关紧门窗，妥善安置室外搁置物和悬挂物，停止一切户外活动并尽量避免外出；室外人员应远离大树、广告牌等可能发生危险的区域，远离架空线路、电杆、铁塔和变压器等高压电力设备及被风吹倒得电杆、电线，避免在室外逗留，处于危险地带和危房中的人员应当及时撤离，确保留在安全场所；必须切断危险电源。</w:t>
      </w:r>
    </w:p>
    <w:p>
      <w:pPr>
        <w:spacing w:line="560" w:lineRule="exact"/>
        <w:ind w:firstLine="672" w:firstLineChars="210"/>
        <w:rPr>
          <w:rFonts w:ascii="Times New Roman"/>
          <w:color w:val="000000"/>
          <w:szCs w:val="32"/>
        </w:rPr>
      </w:pPr>
      <w:r>
        <w:rPr>
          <w:rFonts w:ascii="Times New Roman"/>
          <w:color w:val="000000"/>
          <w:szCs w:val="32"/>
        </w:rPr>
        <w:t>4.学校应组织人员清点，并做好防御措施。</w:t>
      </w:r>
    </w:p>
    <w:p>
      <w:pPr>
        <w:spacing w:line="560" w:lineRule="exact"/>
        <w:ind w:firstLine="672" w:firstLineChars="210"/>
        <w:rPr>
          <w:rFonts w:ascii="Times New Roman"/>
          <w:color w:val="000000"/>
          <w:spacing w:val="20"/>
          <w:kern w:val="18"/>
          <w:szCs w:val="32"/>
        </w:rPr>
      </w:pPr>
      <w:r>
        <w:rPr>
          <w:rFonts w:ascii="Times New Roman"/>
          <w:color w:val="000000"/>
          <w:szCs w:val="32"/>
        </w:rPr>
        <w:t>5.台风黄色预警信号解除或降级至蓝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spacing w:line="560" w:lineRule="exact"/>
        <w:ind w:firstLine="672" w:firstLineChars="210"/>
        <w:rPr>
          <w:rFonts w:ascii="Times New Roman" w:eastAsia="黑体"/>
          <w:color w:val="000000"/>
          <w:szCs w:val="32"/>
        </w:rPr>
      </w:pPr>
      <w:r>
        <w:rPr>
          <w:rFonts w:ascii="Times New Roman" w:eastAsia="黑体"/>
          <w:color w:val="000000"/>
          <w:szCs w:val="32"/>
        </w:rPr>
        <w:t>四、台风橙色预警信号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1161415" cy="980440"/>
            <wp:effectExtent l="0" t="0" r="63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rcRect l="23009" t="53070" r="50914" b="20175"/>
                    <a:stretch>
                      <a:fillRect/>
                    </a:stretch>
                  </pic:blipFill>
                  <pic:spPr>
                    <a:xfrm>
                      <a:off x="0" y="0"/>
                      <a:ext cx="1161415" cy="980440"/>
                    </a:xfrm>
                    <a:prstGeom prst="rect">
                      <a:avLst/>
                    </a:prstGeom>
                    <a:noFill/>
                    <a:ln>
                      <a:noFill/>
                    </a:ln>
                  </pic:spPr>
                </pic:pic>
              </a:graphicData>
            </a:graphic>
          </wp:inline>
        </w:drawing>
      </w:r>
    </w:p>
    <w:p>
      <w:pPr>
        <w:spacing w:line="560" w:lineRule="exact"/>
        <w:ind w:firstLine="672" w:firstLineChars="210"/>
        <w:rPr>
          <w:rFonts w:ascii="Times New Roman"/>
          <w:color w:val="000000"/>
          <w:szCs w:val="32"/>
        </w:rPr>
      </w:pPr>
      <w:r>
        <w:rPr>
          <w:rFonts w:ascii="Times New Roman"/>
          <w:color w:val="000000"/>
          <w:szCs w:val="32"/>
        </w:rPr>
        <w:t>含义：12小时内将受台风影响，平均风力可达10级以上，或者阵风12级以上；或者已经受台风影响，平均风力为10～11级，或者阵风12级以上并将持续。</w:t>
      </w:r>
    </w:p>
    <w:p>
      <w:pPr>
        <w:spacing w:line="560" w:lineRule="exact"/>
        <w:ind w:firstLine="672" w:firstLineChars="210"/>
        <w:rPr>
          <w:rFonts w:ascii="Times New Roman" w:eastAsia="黑体"/>
          <w:color w:val="000000"/>
          <w:spacing w:val="20"/>
          <w:kern w:val="18"/>
          <w:szCs w:val="32"/>
        </w:rPr>
      </w:pPr>
      <w:r>
        <w:rPr>
          <w:rFonts w:ascii="Times New Roman" w:eastAsia="黑体"/>
          <w:color w:val="000000"/>
          <w:szCs w:val="32"/>
        </w:rPr>
        <w:t>应对指引</w:t>
      </w:r>
      <w:r>
        <w:rPr>
          <w:rFonts w:ascii="Times New Roman"/>
          <w:color w:val="000000"/>
          <w:szCs w:val="32"/>
        </w:rPr>
        <w:t>：</w:t>
      </w:r>
    </w:p>
    <w:p>
      <w:pPr>
        <w:spacing w:line="560" w:lineRule="exact"/>
        <w:ind w:firstLine="672" w:firstLineChars="210"/>
        <w:rPr>
          <w:rFonts w:ascii="Times New Roman"/>
          <w:color w:val="000000"/>
          <w:szCs w:val="32"/>
        </w:rPr>
      </w:pPr>
      <w:r>
        <w:rPr>
          <w:rFonts w:ascii="Times New Roman"/>
          <w:color w:val="000000"/>
          <w:szCs w:val="32"/>
        </w:rPr>
        <w:t>1.进入台风紧急防御状态，</w:t>
      </w:r>
      <w:bookmarkStart w:id="5" w:name="_Hlk27697846"/>
      <w:r>
        <w:rPr>
          <w:rFonts w:ascii="Times New Roman"/>
          <w:color w:val="000000"/>
          <w:szCs w:val="32"/>
        </w:rPr>
        <w:t>各区教育局和学校</w:t>
      </w:r>
      <w:bookmarkEnd w:id="5"/>
      <w:r>
        <w:rPr>
          <w:rFonts w:ascii="Times New Roman"/>
          <w:color w:val="000000"/>
          <w:szCs w:val="32"/>
        </w:rPr>
        <w:t>应密切关注台风最新消息和政府及有关部门发布的防御台风通知。</w:t>
      </w:r>
    </w:p>
    <w:p>
      <w:pPr>
        <w:spacing w:line="560" w:lineRule="exact"/>
        <w:ind w:firstLine="672" w:firstLineChars="210"/>
        <w:rPr>
          <w:rFonts w:ascii="Times New Roman"/>
          <w:color w:val="000000"/>
          <w:szCs w:val="32"/>
        </w:rPr>
      </w:pPr>
      <w:r>
        <w:rPr>
          <w:rFonts w:ascii="Times New Roman"/>
          <w:color w:val="000000"/>
          <w:szCs w:val="32"/>
        </w:rPr>
        <w:t>2.中等职业学校、中小学校、特殊教育学校、幼儿园、托儿所应当停课。</w:t>
      </w:r>
      <w:bookmarkStart w:id="6" w:name="_Hlk27697857"/>
      <w:r>
        <w:rPr>
          <w:rFonts w:ascii="Times New Roman"/>
          <w:color w:val="000000"/>
          <w:szCs w:val="32"/>
        </w:rPr>
        <w:t>各区教育局和学校应向家长发布停课通知</w:t>
      </w:r>
      <w:bookmarkEnd w:id="6"/>
      <w:r>
        <w:rPr>
          <w:rFonts w:ascii="Times New Roman"/>
          <w:color w:val="000000"/>
          <w:szCs w:val="32"/>
        </w:rPr>
        <w:t>，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spacing w:line="560" w:lineRule="exact"/>
        <w:ind w:firstLine="672" w:firstLineChars="210"/>
        <w:rPr>
          <w:rFonts w:ascii="Times New Roman"/>
          <w:color w:val="000000"/>
          <w:szCs w:val="32"/>
        </w:rPr>
      </w:pPr>
      <w:r>
        <w:rPr>
          <w:rFonts w:ascii="Times New Roman"/>
          <w:color w:val="000000"/>
          <w:szCs w:val="32"/>
        </w:rPr>
        <w:t>3.室内人员继续留在安全场所,并检查防风安全情况，如紧固门窗，有条件的可在玻璃窗加贴胶纸等，尽量不要靠近门窗，以防玻璃碎裂伤人；必须切断危险电源。</w:t>
      </w:r>
    </w:p>
    <w:p>
      <w:pPr>
        <w:spacing w:line="560" w:lineRule="exact"/>
        <w:ind w:firstLine="672" w:firstLineChars="210"/>
        <w:rPr>
          <w:rFonts w:ascii="Times New Roman"/>
          <w:color w:val="000000"/>
          <w:szCs w:val="32"/>
        </w:rPr>
      </w:pPr>
      <w:r>
        <w:rPr>
          <w:rFonts w:ascii="Times New Roman"/>
          <w:color w:val="000000"/>
          <w:szCs w:val="32"/>
        </w:rPr>
        <w:t>4.台风橙色预警信号解除或降级至蓝色以下预警信号后, 各区教育局应当通知学校做好复课准备。学校可以根据实际情况决定是否复课，决定复课的学校，应及时将复课信息通知学生或家长。学生、家长要留意最新预警信号和学校复课的通知。</w:t>
      </w:r>
    </w:p>
    <w:p>
      <w:pPr>
        <w:spacing w:line="560" w:lineRule="exact"/>
        <w:ind w:firstLine="672" w:firstLineChars="210"/>
        <w:rPr>
          <w:rFonts w:ascii="Times New Roman"/>
          <w:color w:val="000000"/>
          <w:szCs w:val="32"/>
        </w:rPr>
      </w:pPr>
      <w:r>
        <w:rPr>
          <w:rFonts w:ascii="Times New Roman"/>
          <w:color w:val="000000"/>
          <w:szCs w:val="32"/>
        </w:rPr>
        <w:t>特别提示：当台风中心经过时风力会减少或静止一段时间，应当保持戒备和防御，以防台风中心经过后强风再袭。</w:t>
      </w:r>
    </w:p>
    <w:p>
      <w:pPr>
        <w:spacing w:line="560" w:lineRule="exact"/>
        <w:ind w:firstLine="672" w:firstLineChars="210"/>
        <w:rPr>
          <w:rFonts w:ascii="Times New Roman" w:eastAsia="黑体"/>
          <w:color w:val="000000"/>
          <w:szCs w:val="32"/>
        </w:rPr>
      </w:pPr>
      <w:r>
        <w:rPr>
          <w:rFonts w:ascii="Times New Roman" w:eastAsia="黑体"/>
          <w:color w:val="000000"/>
          <w:szCs w:val="32"/>
        </w:rPr>
        <w:t>五、台风红色预警信号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1191895" cy="1012190"/>
            <wp:effectExtent l="0" t="0" r="8255" b="165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rcRect l="51701" t="52850" r="22398" b="20390"/>
                    <a:stretch>
                      <a:fillRect/>
                    </a:stretch>
                  </pic:blipFill>
                  <pic:spPr>
                    <a:xfrm>
                      <a:off x="0" y="0"/>
                      <a:ext cx="1191895" cy="1012190"/>
                    </a:xfrm>
                    <a:prstGeom prst="rect">
                      <a:avLst/>
                    </a:prstGeom>
                    <a:noFill/>
                    <a:ln>
                      <a:noFill/>
                    </a:ln>
                  </pic:spPr>
                </pic:pic>
              </a:graphicData>
            </a:graphic>
          </wp:inline>
        </w:drawing>
      </w:r>
    </w:p>
    <w:p>
      <w:pPr>
        <w:spacing w:line="560" w:lineRule="exact"/>
        <w:ind w:firstLine="640" w:firstLineChars="200"/>
        <w:rPr>
          <w:rFonts w:ascii="Times New Roman"/>
          <w:color w:val="000000"/>
          <w:szCs w:val="32"/>
        </w:rPr>
      </w:pPr>
      <w:r>
        <w:rPr>
          <w:rFonts w:ascii="Times New Roman"/>
          <w:color w:val="000000"/>
          <w:szCs w:val="32"/>
        </w:rPr>
        <w:t>含义：12小时内将受或者已经受台风影响，平均风力可达12级以上，或者已达12级以上并将持续。</w:t>
      </w:r>
    </w:p>
    <w:p>
      <w:pPr>
        <w:spacing w:line="560" w:lineRule="exact"/>
        <w:ind w:firstLine="640" w:firstLineChars="200"/>
        <w:rPr>
          <w:rFonts w:ascii="Times New Roman" w:eastAsia="黑体"/>
          <w:color w:val="000000"/>
          <w:spacing w:val="20"/>
          <w:kern w:val="18"/>
          <w:szCs w:val="32"/>
        </w:rPr>
      </w:pPr>
      <w:r>
        <w:rPr>
          <w:rFonts w:ascii="Times New Roman" w:eastAsia="黑体"/>
          <w:color w:val="000000"/>
          <w:szCs w:val="32"/>
        </w:rPr>
        <w:t>应对指引</w:t>
      </w:r>
      <w:r>
        <w:rPr>
          <w:rFonts w:ascii="Times New Roman"/>
          <w:color w:val="000000"/>
          <w:szCs w:val="32"/>
        </w:rPr>
        <w:t>：</w:t>
      </w:r>
    </w:p>
    <w:p>
      <w:pPr>
        <w:spacing w:line="560" w:lineRule="exact"/>
        <w:ind w:firstLine="720" w:firstLineChars="200"/>
        <w:rPr>
          <w:rFonts w:ascii="Times New Roman"/>
          <w:color w:val="000000"/>
          <w:szCs w:val="32"/>
        </w:rPr>
      </w:pPr>
      <w:r>
        <w:rPr>
          <w:rFonts w:ascii="Times New Roman"/>
          <w:color w:val="000000"/>
          <w:spacing w:val="20"/>
          <w:kern w:val="18"/>
          <w:szCs w:val="32"/>
        </w:rPr>
        <w:t>1</w:t>
      </w:r>
      <w:r>
        <w:rPr>
          <w:rFonts w:ascii="Times New Roman"/>
          <w:color w:val="000000"/>
          <w:szCs w:val="32"/>
        </w:rPr>
        <w:t>.进入台风特别紧急防御状态, 各区教育局和学校应高度关注台风最新消息和政府及有关部门发布的防御台风通知。</w:t>
      </w:r>
    </w:p>
    <w:p>
      <w:pPr>
        <w:spacing w:line="560" w:lineRule="exact"/>
        <w:ind w:firstLine="640" w:firstLineChars="200"/>
        <w:rPr>
          <w:rFonts w:ascii="Times New Roman"/>
          <w:color w:val="000000"/>
          <w:szCs w:val="32"/>
        </w:rPr>
      </w:pPr>
      <w:r>
        <w:rPr>
          <w:rFonts w:ascii="Times New Roman"/>
          <w:color w:val="000000"/>
          <w:szCs w:val="32"/>
        </w:rPr>
        <w:t>2.中等职业学校、中小学校、特殊教育学校、幼儿园、托儿所应当停课。各区教育局和学校应家长发布停课通知，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spacing w:line="560" w:lineRule="exact"/>
        <w:ind w:firstLine="640" w:firstLineChars="200"/>
        <w:rPr>
          <w:rFonts w:ascii="Times New Roman"/>
          <w:color w:val="000000"/>
          <w:szCs w:val="32"/>
        </w:rPr>
      </w:pPr>
      <w:r>
        <w:rPr>
          <w:rFonts w:ascii="Times New Roman"/>
          <w:color w:val="000000"/>
          <w:szCs w:val="32"/>
        </w:rPr>
        <w:t>3.室内人员切勿外出，确保留在安全场所，并检查防风安全情况。</w:t>
      </w:r>
    </w:p>
    <w:p>
      <w:pPr>
        <w:spacing w:line="560" w:lineRule="exact"/>
        <w:ind w:firstLine="640" w:firstLineChars="200"/>
        <w:rPr>
          <w:rFonts w:ascii="Times New Roman"/>
          <w:color w:val="000000"/>
          <w:szCs w:val="32"/>
        </w:rPr>
      </w:pPr>
      <w:r>
        <w:rPr>
          <w:rFonts w:ascii="Times New Roman"/>
          <w:color w:val="000000"/>
          <w:szCs w:val="32"/>
        </w:rPr>
        <w:t>4.组织应急抢险人员及时排除校内各种险情。</w:t>
      </w:r>
    </w:p>
    <w:p>
      <w:pPr>
        <w:spacing w:line="560" w:lineRule="exact"/>
        <w:ind w:firstLine="640" w:firstLineChars="200"/>
        <w:rPr>
          <w:rFonts w:ascii="Times New Roman"/>
          <w:color w:val="000000"/>
          <w:szCs w:val="32"/>
        </w:rPr>
      </w:pPr>
      <w:r>
        <w:rPr>
          <w:rFonts w:ascii="Times New Roman"/>
          <w:color w:val="000000"/>
          <w:szCs w:val="32"/>
        </w:rPr>
        <w:t>5.台风红色预警信号解除或降级至蓝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spacing w:line="560" w:lineRule="exact"/>
        <w:ind w:firstLine="640" w:firstLineChars="200"/>
        <w:rPr>
          <w:rFonts w:ascii="Times New Roman"/>
          <w:color w:val="000000"/>
          <w:szCs w:val="32"/>
        </w:rPr>
      </w:pPr>
      <w:r>
        <w:rPr>
          <w:rFonts w:ascii="Times New Roman"/>
          <w:color w:val="000000"/>
          <w:szCs w:val="32"/>
        </w:rPr>
        <w:t>特别提示：当台风中心经过时风力会减小或者静止一段时间，应当保持戒备和防御，以防台风中心经过后强风再袭。</w:t>
      </w: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hint="eastAsia" w:ascii="Times New Roman"/>
          <w:color w:val="000000"/>
          <w:szCs w:val="32"/>
        </w:rPr>
      </w:pPr>
    </w:p>
    <w:p>
      <w:pPr>
        <w:spacing w:line="560" w:lineRule="exact"/>
        <w:rPr>
          <w:rFonts w:hint="eastAsia" w:ascii="Times New Roman"/>
          <w:color w:val="000000"/>
          <w:szCs w:val="32"/>
        </w:rPr>
      </w:pPr>
    </w:p>
    <w:p>
      <w:pPr>
        <w:spacing w:line="560" w:lineRule="exact"/>
        <w:rPr>
          <w:rFonts w:hint="eastAsia" w:ascii="Times New Roman"/>
          <w:color w:val="000000"/>
          <w:szCs w:val="32"/>
        </w:rPr>
      </w:pPr>
    </w:p>
    <w:p>
      <w:pPr>
        <w:spacing w:line="560" w:lineRule="exact"/>
        <w:rPr>
          <w:rFonts w:hint="eastAsia" w:ascii="Times New Roman"/>
          <w:color w:val="000000"/>
          <w:szCs w:val="32"/>
        </w:rPr>
      </w:pPr>
    </w:p>
    <w:p>
      <w:pPr>
        <w:spacing w:line="560" w:lineRule="exact"/>
        <w:rPr>
          <w:rFonts w:hint="eastAsia" w:ascii="Times New Roman"/>
          <w:color w:val="000000"/>
          <w:szCs w:val="32"/>
        </w:rPr>
      </w:pPr>
    </w:p>
    <w:p>
      <w:pPr>
        <w:spacing w:line="560" w:lineRule="exact"/>
        <w:rPr>
          <w:rFonts w:hint="eastAsia"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p>
    <w:p>
      <w:pPr>
        <w:spacing w:line="560" w:lineRule="exact"/>
        <w:rPr>
          <w:rFonts w:ascii="Times New Roman"/>
          <w:color w:val="000000"/>
          <w:szCs w:val="32"/>
        </w:rPr>
      </w:pPr>
      <w:bookmarkStart w:id="7" w:name="_GoBack"/>
      <w:bookmarkEnd w:id="7"/>
    </w:p>
    <w:p>
      <w:pPr>
        <w:spacing w:line="560" w:lineRule="exact"/>
        <w:rPr>
          <w:rFonts w:ascii="Times New Roman"/>
          <w:color w:val="000000"/>
          <w:szCs w:val="32"/>
        </w:rPr>
      </w:pPr>
    </w:p>
    <w:p>
      <w:pPr>
        <w:spacing w:line="560" w:lineRule="exact"/>
        <w:rPr>
          <w:rFonts w:ascii="黑体" w:hAnsi="黑体" w:eastAsia="黑体"/>
          <w:color w:val="000000"/>
          <w:spacing w:val="20"/>
          <w:kern w:val="18"/>
          <w:szCs w:val="32"/>
        </w:rPr>
      </w:pPr>
      <w:r>
        <w:rPr>
          <w:rFonts w:ascii="黑体" w:hAnsi="黑体" w:eastAsia="黑体"/>
          <w:color w:val="000000"/>
          <w:spacing w:val="20"/>
          <w:kern w:val="18"/>
          <w:szCs w:val="32"/>
        </w:rPr>
        <w:t>附件6</w:t>
      </w:r>
    </w:p>
    <w:p>
      <w:pPr>
        <w:spacing w:line="560" w:lineRule="exact"/>
        <w:rPr>
          <w:rFonts w:ascii="Times New Roman" w:eastAsia="黑体"/>
          <w:color w:val="000000"/>
          <w:spacing w:val="20"/>
          <w:kern w:val="18"/>
          <w:szCs w:val="32"/>
        </w:rPr>
      </w:pPr>
    </w:p>
    <w:p>
      <w:pPr>
        <w:spacing w:line="560" w:lineRule="exact"/>
        <w:jc w:val="center"/>
        <w:rPr>
          <w:rFonts w:ascii="Times New Roman" w:eastAsia="方正小标宋_GBK"/>
          <w:color w:val="000000"/>
          <w:sz w:val="44"/>
          <w:szCs w:val="44"/>
        </w:rPr>
      </w:pPr>
      <w:r>
        <w:rPr>
          <w:rFonts w:ascii="Times New Roman" w:eastAsia="方正小标宋_GBK"/>
          <w:color w:val="000000"/>
          <w:sz w:val="44"/>
          <w:szCs w:val="44"/>
        </w:rPr>
        <w:t>广州市教育系统应对暴雨灾害指引</w:t>
      </w:r>
    </w:p>
    <w:p>
      <w:pPr>
        <w:spacing w:line="560" w:lineRule="exact"/>
        <w:rPr>
          <w:rFonts w:ascii="Times New Roman"/>
          <w:color w:val="000000"/>
          <w:spacing w:val="20"/>
          <w:kern w:val="18"/>
          <w:szCs w:val="32"/>
        </w:rPr>
      </w:pPr>
    </w:p>
    <w:p>
      <w:pPr>
        <w:spacing w:line="560" w:lineRule="exact"/>
        <w:ind w:firstLine="640" w:firstLineChars="200"/>
        <w:rPr>
          <w:rFonts w:ascii="Times New Roman"/>
          <w:color w:val="000000"/>
          <w:szCs w:val="32"/>
        </w:rPr>
      </w:pPr>
      <w:r>
        <w:rPr>
          <w:rFonts w:ascii="Times New Roman"/>
          <w:color w:val="000000"/>
          <w:szCs w:val="32"/>
        </w:rPr>
        <w:t>暴雨预警信号分三级，分别以黄色、橙色、红色表示。</w:t>
      </w:r>
    </w:p>
    <w:p>
      <w:pPr>
        <w:spacing w:line="560" w:lineRule="exact"/>
        <w:ind w:firstLine="640" w:firstLineChars="200"/>
        <w:rPr>
          <w:rFonts w:ascii="Times New Roman" w:eastAsia="黑体"/>
          <w:color w:val="000000"/>
          <w:szCs w:val="32"/>
        </w:rPr>
      </w:pPr>
      <w:r>
        <w:rPr>
          <w:rFonts w:ascii="Times New Roman" w:eastAsia="黑体"/>
          <w:color w:val="000000"/>
          <w:szCs w:val="32"/>
        </w:rPr>
        <w:t>一、暴雨黄色预警信号</w:t>
      </w:r>
    </w:p>
    <w:p>
      <w:pPr>
        <w:ind w:firstLine="720" w:firstLineChars="200"/>
        <w:jc w:val="center"/>
        <w:rPr>
          <w:rFonts w:ascii="Times New Roman"/>
          <w:b/>
          <w:bCs/>
          <w:color w:val="000000"/>
          <w:spacing w:val="20"/>
          <w:kern w:val="18"/>
          <w:szCs w:val="32"/>
        </w:rPr>
      </w:pPr>
      <w:r>
        <w:rPr>
          <w:rFonts w:ascii="Times New Roman"/>
          <w:color w:val="000000"/>
          <w:spacing w:val="20"/>
          <w:kern w:val="18"/>
          <w:szCs w:val="32"/>
        </w:rPr>
        <w:t>图标：</w:t>
      </w:r>
      <w:r>
        <w:rPr>
          <w:rFonts w:ascii="Times New Roman"/>
          <w:b/>
          <w:bCs/>
          <w:color w:val="000000"/>
          <w:spacing w:val="20"/>
          <w:kern w:val="18"/>
          <w:szCs w:val="32"/>
        </w:rPr>
        <w:t xml:space="preserve">  </w:t>
      </w:r>
      <w:r>
        <w:rPr>
          <w:rFonts w:ascii="Times New Roman"/>
          <w:color w:val="000000"/>
          <w:szCs w:val="32"/>
        </w:rPr>
        <w:drawing>
          <wp:inline distT="0" distB="0" distL="114300" distR="114300">
            <wp:extent cx="848995" cy="678815"/>
            <wp:effectExtent l="0" t="0" r="8255" b="698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848995" cy="678815"/>
                    </a:xfrm>
                    <a:prstGeom prst="rect">
                      <a:avLst/>
                    </a:prstGeom>
                    <a:noFill/>
                    <a:ln>
                      <a:noFill/>
                    </a:ln>
                  </pic:spPr>
                </pic:pic>
              </a:graphicData>
            </a:graphic>
          </wp:inline>
        </w:drawing>
      </w:r>
    </w:p>
    <w:p>
      <w:pPr>
        <w:spacing w:line="560" w:lineRule="exact"/>
        <w:ind w:firstLine="672" w:firstLineChars="210"/>
        <w:rPr>
          <w:rFonts w:ascii="Times New Roman"/>
          <w:color w:val="000000"/>
          <w:szCs w:val="32"/>
        </w:rPr>
      </w:pPr>
      <w:r>
        <w:rPr>
          <w:rFonts w:ascii="Times New Roman"/>
          <w:color w:val="000000"/>
          <w:szCs w:val="32"/>
        </w:rPr>
        <w:t>含义：6小时内本地将有暴雨发生，或者已经出现明显降雨，且降雨将持续。</w:t>
      </w:r>
    </w:p>
    <w:p>
      <w:pPr>
        <w:spacing w:line="560" w:lineRule="exact"/>
        <w:ind w:firstLine="672" w:firstLineChars="210"/>
        <w:rPr>
          <w:rFonts w:ascii="Times New Roman" w:eastAsia="黑体"/>
          <w:color w:val="000000"/>
          <w:spacing w:val="20"/>
          <w:kern w:val="18"/>
          <w:szCs w:val="32"/>
        </w:rPr>
      </w:pPr>
      <w:r>
        <w:rPr>
          <w:rFonts w:ascii="Times New Roman" w:eastAsia="黑体"/>
          <w:color w:val="000000"/>
          <w:szCs w:val="32"/>
        </w:rPr>
        <w:t>应对指引</w:t>
      </w:r>
      <w:r>
        <w:rPr>
          <w:rFonts w:ascii="Times New Roman"/>
          <w:color w:val="000000"/>
          <w:spacing w:val="20"/>
          <w:kern w:val="18"/>
          <w:szCs w:val="32"/>
        </w:rPr>
        <w:t>：</w:t>
      </w:r>
    </w:p>
    <w:p>
      <w:pPr>
        <w:spacing w:line="560" w:lineRule="exact"/>
        <w:ind w:firstLine="672" w:firstLineChars="210"/>
        <w:rPr>
          <w:rFonts w:ascii="Times New Roman"/>
          <w:color w:val="000000"/>
          <w:szCs w:val="32"/>
        </w:rPr>
      </w:pPr>
      <w:r>
        <w:rPr>
          <w:rFonts w:ascii="Times New Roman"/>
          <w:color w:val="000000"/>
          <w:szCs w:val="32"/>
        </w:rPr>
        <w:t>1.进入暴雨防御状态，中等职业学校、中小学校、特殊教育学校教职员工应关注暴雨预警信息，以便天气突然恶化时及时应对。</w:t>
      </w:r>
    </w:p>
    <w:p>
      <w:pPr>
        <w:spacing w:line="560" w:lineRule="exact"/>
        <w:ind w:firstLine="672" w:firstLineChars="210"/>
        <w:rPr>
          <w:rFonts w:ascii="Times New Roman"/>
          <w:color w:val="000000"/>
          <w:szCs w:val="32"/>
        </w:rPr>
      </w:pPr>
      <w:r>
        <w:rPr>
          <w:rFonts w:ascii="Times New Roman"/>
          <w:color w:val="000000"/>
          <w:szCs w:val="32"/>
        </w:rPr>
        <w:t>2.上学时间段内所在区域的学生及其家长认为有必要延迟上学时，可以延迟上学，并及时告知学校；学校对因此延迟上学的学生，不作迟到和旷课处理。</w:t>
      </w:r>
    </w:p>
    <w:p>
      <w:pPr>
        <w:spacing w:line="560" w:lineRule="exact"/>
        <w:ind w:firstLine="672" w:firstLineChars="210"/>
        <w:rPr>
          <w:rFonts w:ascii="Times New Roman"/>
          <w:color w:val="000000"/>
          <w:szCs w:val="32"/>
        </w:rPr>
      </w:pPr>
      <w:r>
        <w:rPr>
          <w:rFonts w:ascii="Times New Roman"/>
          <w:color w:val="000000"/>
          <w:szCs w:val="32"/>
        </w:rPr>
        <w:t>3.及时清点、核实人员数量和在位情况，联系并关注正在途中的学生，以确保人员安全。</w:t>
      </w:r>
    </w:p>
    <w:p>
      <w:pPr>
        <w:spacing w:line="560" w:lineRule="exact"/>
        <w:ind w:firstLine="672" w:firstLineChars="210"/>
        <w:rPr>
          <w:rFonts w:ascii="Times New Roman"/>
          <w:color w:val="000000"/>
          <w:szCs w:val="32"/>
        </w:rPr>
      </w:pPr>
      <w:r>
        <w:rPr>
          <w:rFonts w:ascii="Times New Roman"/>
          <w:color w:val="000000"/>
          <w:szCs w:val="32"/>
        </w:rPr>
        <w:t>4.处于低洼易涝区、危房、边坡等可能发生危险区域的学校师生，应采取必要的安全措施，学校低洼易涝隐患点应做好排水防涝工作。</w:t>
      </w:r>
    </w:p>
    <w:p>
      <w:pPr>
        <w:spacing w:line="560" w:lineRule="exact"/>
        <w:ind w:firstLine="672" w:firstLineChars="210"/>
        <w:rPr>
          <w:rFonts w:ascii="Times New Roman"/>
          <w:color w:val="000000"/>
          <w:szCs w:val="32"/>
        </w:rPr>
      </w:pPr>
      <w:r>
        <w:rPr>
          <w:rFonts w:ascii="Times New Roman"/>
          <w:color w:val="000000"/>
          <w:szCs w:val="32"/>
        </w:rPr>
        <w:t>5.暂停室外教学活动，室外人员做好防雨、防陷措施，或到安全场所暂避。</w:t>
      </w:r>
    </w:p>
    <w:p>
      <w:pPr>
        <w:spacing w:line="560" w:lineRule="exact"/>
        <w:ind w:firstLine="640" w:firstLineChars="200"/>
        <w:rPr>
          <w:rFonts w:ascii="Times New Roman"/>
          <w:color w:val="000000"/>
          <w:szCs w:val="32"/>
        </w:rPr>
      </w:pPr>
      <w:r>
        <w:rPr>
          <w:rFonts w:ascii="Times New Roman"/>
          <w:color w:val="000000"/>
          <w:szCs w:val="32"/>
        </w:rPr>
        <w:t>6.及时检查水、电、气、网络等基础设施，防止出现停水、漏电、燃气泄漏、断网等险情。</w:t>
      </w:r>
    </w:p>
    <w:p>
      <w:pPr>
        <w:spacing w:line="560" w:lineRule="exact"/>
        <w:ind w:firstLine="640" w:firstLineChars="200"/>
        <w:rPr>
          <w:rFonts w:ascii="Times New Roman"/>
          <w:color w:val="000000"/>
          <w:spacing w:val="20"/>
          <w:kern w:val="18"/>
          <w:szCs w:val="32"/>
        </w:rPr>
      </w:pPr>
      <w:r>
        <w:rPr>
          <w:rFonts w:ascii="Times New Roman"/>
          <w:color w:val="000000"/>
          <w:szCs w:val="32"/>
        </w:rPr>
        <w:t>7.暴雨黄色预警信号解除，且学生及其家长认为安全时，学生应当及时上学。</w:t>
      </w:r>
    </w:p>
    <w:p>
      <w:pPr>
        <w:spacing w:line="560" w:lineRule="exact"/>
        <w:ind w:firstLine="640" w:firstLineChars="200"/>
        <w:rPr>
          <w:rFonts w:ascii="Times New Roman" w:eastAsia="黑体"/>
          <w:color w:val="000000"/>
          <w:szCs w:val="32"/>
        </w:rPr>
      </w:pPr>
      <w:r>
        <w:rPr>
          <w:rFonts w:ascii="Times New Roman" w:eastAsia="黑体"/>
          <w:color w:val="000000"/>
          <w:szCs w:val="32"/>
        </w:rPr>
        <w:t>二、暴雨橙色预警信号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866140" cy="736600"/>
            <wp:effectExtent l="0" t="0" r="1016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l="6253" t="5415" r="4544" b="15752"/>
                    <a:stretch>
                      <a:fillRect/>
                    </a:stretch>
                  </pic:blipFill>
                  <pic:spPr>
                    <a:xfrm>
                      <a:off x="0" y="0"/>
                      <a:ext cx="866140" cy="736600"/>
                    </a:xfrm>
                    <a:prstGeom prst="rect">
                      <a:avLst/>
                    </a:prstGeom>
                    <a:noFill/>
                    <a:ln>
                      <a:noFill/>
                    </a:ln>
                  </pic:spPr>
                </pic:pic>
              </a:graphicData>
            </a:graphic>
          </wp:inline>
        </w:drawing>
      </w:r>
    </w:p>
    <w:p>
      <w:pPr>
        <w:spacing w:line="560" w:lineRule="exact"/>
        <w:ind w:firstLine="640" w:firstLineChars="200"/>
        <w:rPr>
          <w:rFonts w:ascii="Times New Roman"/>
          <w:color w:val="000000"/>
          <w:szCs w:val="32"/>
        </w:rPr>
      </w:pPr>
      <w:r>
        <w:rPr>
          <w:rFonts w:ascii="Times New Roman"/>
          <w:color w:val="000000"/>
          <w:szCs w:val="32"/>
        </w:rPr>
        <w:t>含义：在过去的3小时，本地降雨量已达50毫米以上，且降雨将持续。</w:t>
      </w:r>
    </w:p>
    <w:p>
      <w:pPr>
        <w:spacing w:line="560" w:lineRule="exact"/>
        <w:ind w:firstLine="672" w:firstLineChars="210"/>
        <w:rPr>
          <w:rFonts w:ascii="Times New Roman" w:eastAsia="黑体"/>
          <w:color w:val="000000"/>
          <w:spacing w:val="20"/>
          <w:kern w:val="18"/>
          <w:szCs w:val="32"/>
        </w:rPr>
      </w:pPr>
      <w:r>
        <w:rPr>
          <w:rFonts w:ascii="Times New Roman" w:eastAsia="黑体"/>
          <w:color w:val="000000"/>
          <w:szCs w:val="32"/>
        </w:rPr>
        <w:t>应对指引</w:t>
      </w:r>
      <w:r>
        <w:rPr>
          <w:rFonts w:ascii="Times New Roman"/>
          <w:color w:val="000000"/>
          <w:spacing w:val="20"/>
          <w:kern w:val="18"/>
          <w:szCs w:val="32"/>
        </w:rPr>
        <w:t>：</w:t>
      </w:r>
    </w:p>
    <w:p>
      <w:pPr>
        <w:spacing w:line="560" w:lineRule="exact"/>
        <w:ind w:firstLine="672" w:firstLineChars="210"/>
        <w:rPr>
          <w:rFonts w:ascii="Times New Roman"/>
          <w:color w:val="000000"/>
          <w:szCs w:val="32"/>
        </w:rPr>
      </w:pPr>
      <w:r>
        <w:rPr>
          <w:rFonts w:ascii="Times New Roman"/>
          <w:color w:val="000000"/>
          <w:szCs w:val="32"/>
        </w:rPr>
        <w:t>1.进入暴雨紧急防御状态，密切关注暴雨最新消息。</w:t>
      </w:r>
    </w:p>
    <w:p>
      <w:pPr>
        <w:spacing w:line="560" w:lineRule="exact"/>
        <w:ind w:firstLine="672" w:firstLineChars="210"/>
        <w:rPr>
          <w:rFonts w:ascii="Times New Roman"/>
          <w:color w:val="000000"/>
          <w:szCs w:val="32"/>
        </w:rPr>
      </w:pPr>
      <w:r>
        <w:rPr>
          <w:rFonts w:ascii="Times New Roman"/>
          <w:color w:val="000000"/>
          <w:szCs w:val="32"/>
        </w:rPr>
        <w:t>2.各区教育局和各学校应向中等职业学校、中小学校家长发布延迟上学的通知，学生家长应指导学生延迟上学；正在上学、放学途中的学生应就近到安全场所暂避；学校应保障在校(含校车上、寄宿)学生的安全，在确保安全情况下，方可让学生回家。特殊教育学校学生不必到学校上课，托儿所、幼儿园的儿童不必到园。</w:t>
      </w:r>
    </w:p>
    <w:p>
      <w:pPr>
        <w:spacing w:line="560" w:lineRule="exact"/>
        <w:ind w:firstLine="672" w:firstLineChars="210"/>
        <w:rPr>
          <w:rFonts w:ascii="Times New Roman"/>
          <w:color w:val="000000"/>
          <w:szCs w:val="32"/>
        </w:rPr>
      </w:pPr>
      <w:r>
        <w:rPr>
          <w:rFonts w:ascii="Times New Roman"/>
          <w:color w:val="000000"/>
          <w:szCs w:val="32"/>
        </w:rPr>
        <w:t>3.停止一切室外活动，及时组织人员进入室内；室外人员要远离低洼易涝区、危房、边坡、简易工棚、挡土墙、河道水库等可能发生危险的区域；远离架空线路、电杆、斜拉铁线、铁塔和变压器等高压电力设备，及被水浸泡的电箱、电线、路灯及公交站牌等带电设施，远离排水口；避免涉水穿越水浸区域，远离被水浸或裸露的电线，以防触电。</w:t>
      </w:r>
    </w:p>
    <w:p>
      <w:pPr>
        <w:spacing w:line="560" w:lineRule="exact"/>
        <w:ind w:firstLine="672" w:firstLineChars="210"/>
        <w:rPr>
          <w:rFonts w:ascii="Times New Roman"/>
          <w:color w:val="000000"/>
          <w:szCs w:val="32"/>
        </w:rPr>
      </w:pPr>
      <w:r>
        <w:rPr>
          <w:rFonts w:ascii="Times New Roman"/>
          <w:color w:val="000000"/>
          <w:szCs w:val="32"/>
        </w:rPr>
        <w:t>5.正在途中的校车等行驶车辆应绕开积水路段及下沉式立交桥，避免穿越水浸道路，避免将车辆停放在低洼易涝等危险区域。驾乘人员应及时向学校值班室报告情况并保持联系。</w:t>
      </w:r>
    </w:p>
    <w:p>
      <w:pPr>
        <w:spacing w:line="560" w:lineRule="exact"/>
        <w:ind w:firstLine="672" w:firstLineChars="210"/>
        <w:rPr>
          <w:rFonts w:ascii="Times New Roman"/>
          <w:color w:val="000000"/>
          <w:szCs w:val="32"/>
        </w:rPr>
      </w:pPr>
      <w:r>
        <w:rPr>
          <w:rFonts w:ascii="Times New Roman"/>
          <w:color w:val="000000"/>
          <w:szCs w:val="32"/>
        </w:rPr>
        <w:t>6.对低洼地段室外供用电设施采取安全防范措施，学校低洼易涝隐患点组织人员做好排水防涝工作。</w:t>
      </w:r>
    </w:p>
    <w:p>
      <w:pPr>
        <w:spacing w:line="560" w:lineRule="exact"/>
        <w:ind w:firstLine="672" w:firstLineChars="210"/>
        <w:rPr>
          <w:rFonts w:ascii="Times New Roman"/>
          <w:color w:val="000000"/>
          <w:szCs w:val="32"/>
        </w:rPr>
      </w:pPr>
      <w:r>
        <w:rPr>
          <w:rFonts w:ascii="Times New Roman"/>
          <w:color w:val="000000"/>
          <w:szCs w:val="32"/>
        </w:rPr>
        <w:t>7.注意防范暴雨可能引发的内涝、山洪、滑坡、泥石流等灾害，转移危险地带和危房中的人员到安全场所暂避。</w:t>
      </w:r>
    </w:p>
    <w:p>
      <w:pPr>
        <w:spacing w:line="560" w:lineRule="exact"/>
        <w:ind w:firstLine="672" w:firstLineChars="210"/>
        <w:rPr>
          <w:rFonts w:ascii="Times New Roman"/>
          <w:color w:val="000000"/>
          <w:spacing w:val="20"/>
          <w:kern w:val="18"/>
          <w:szCs w:val="32"/>
        </w:rPr>
      </w:pPr>
      <w:r>
        <w:rPr>
          <w:rFonts w:ascii="Times New Roman"/>
          <w:color w:val="000000"/>
          <w:szCs w:val="32"/>
        </w:rPr>
        <w:t>8.暴雨橙色预警信号解除，且学生及其家长认为安全时，学生应当及时上学。</w:t>
      </w:r>
    </w:p>
    <w:p>
      <w:pPr>
        <w:spacing w:line="560" w:lineRule="exact"/>
        <w:ind w:firstLine="672" w:firstLineChars="210"/>
        <w:rPr>
          <w:rFonts w:ascii="Times New Roman" w:eastAsia="黑体"/>
          <w:color w:val="000000"/>
          <w:szCs w:val="32"/>
        </w:rPr>
      </w:pPr>
      <w:r>
        <w:rPr>
          <w:rFonts w:ascii="Times New Roman" w:eastAsia="黑体"/>
          <w:color w:val="000000"/>
          <w:szCs w:val="32"/>
        </w:rPr>
        <w:t>三、暴雨红色预警信号</w:t>
      </w:r>
    </w:p>
    <w:p>
      <w:pPr>
        <w:ind w:firstLine="720" w:firstLineChars="200"/>
        <w:jc w:val="center"/>
        <w:rPr>
          <w:rFonts w:ascii="Times New Roman"/>
          <w:color w:val="000000"/>
          <w:spacing w:val="20"/>
          <w:kern w:val="18"/>
          <w:szCs w:val="32"/>
        </w:rPr>
      </w:pPr>
      <w:r>
        <w:rPr>
          <w:rFonts w:ascii="Times New Roman"/>
          <w:color w:val="000000"/>
          <w:spacing w:val="20"/>
          <w:kern w:val="18"/>
          <w:szCs w:val="32"/>
        </w:rPr>
        <w:t xml:space="preserve">图标：  </w:t>
      </w:r>
      <w:r>
        <w:rPr>
          <w:rFonts w:ascii="Times New Roman"/>
          <w:color w:val="000000"/>
          <w:szCs w:val="32"/>
        </w:rPr>
        <w:drawing>
          <wp:inline distT="0" distB="0" distL="114300" distR="114300">
            <wp:extent cx="895350" cy="777875"/>
            <wp:effectExtent l="0" t="0" r="0" b="317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2"/>
                    <a:stretch>
                      <a:fillRect/>
                    </a:stretch>
                  </pic:blipFill>
                  <pic:spPr>
                    <a:xfrm>
                      <a:off x="0" y="0"/>
                      <a:ext cx="895350" cy="777875"/>
                    </a:xfrm>
                    <a:prstGeom prst="rect">
                      <a:avLst/>
                    </a:prstGeom>
                    <a:noFill/>
                    <a:ln>
                      <a:noFill/>
                    </a:ln>
                  </pic:spPr>
                </pic:pic>
              </a:graphicData>
            </a:graphic>
          </wp:inline>
        </w:drawing>
      </w:r>
    </w:p>
    <w:p>
      <w:pPr>
        <w:spacing w:line="560" w:lineRule="exact"/>
        <w:ind w:firstLine="672" w:firstLineChars="210"/>
        <w:rPr>
          <w:rFonts w:ascii="Times New Roman"/>
          <w:color w:val="000000"/>
          <w:szCs w:val="32"/>
        </w:rPr>
      </w:pPr>
      <w:r>
        <w:rPr>
          <w:rFonts w:ascii="Times New Roman"/>
          <w:color w:val="000000"/>
          <w:szCs w:val="32"/>
        </w:rPr>
        <w:t>含义：在过去的3小时，本地降雨量已达100毫米以上，且降雨将持续。</w:t>
      </w:r>
    </w:p>
    <w:p>
      <w:pPr>
        <w:spacing w:line="560" w:lineRule="exact"/>
        <w:ind w:firstLine="672" w:firstLineChars="210"/>
        <w:rPr>
          <w:rFonts w:ascii="Times New Roman" w:eastAsia="黑体"/>
          <w:color w:val="000000"/>
          <w:spacing w:val="20"/>
          <w:kern w:val="18"/>
          <w:szCs w:val="32"/>
        </w:rPr>
      </w:pPr>
      <w:r>
        <w:rPr>
          <w:rFonts w:ascii="Times New Roman" w:eastAsia="黑体"/>
          <w:color w:val="000000"/>
          <w:szCs w:val="32"/>
        </w:rPr>
        <w:t>应对指引</w:t>
      </w:r>
      <w:r>
        <w:rPr>
          <w:rFonts w:ascii="Times New Roman"/>
          <w:color w:val="000000"/>
          <w:szCs w:val="32"/>
        </w:rPr>
        <w:t>：</w:t>
      </w:r>
    </w:p>
    <w:p>
      <w:pPr>
        <w:spacing w:line="560" w:lineRule="exact"/>
        <w:ind w:firstLine="672" w:firstLineChars="210"/>
        <w:rPr>
          <w:rFonts w:ascii="Times New Roman"/>
          <w:color w:val="000000"/>
          <w:szCs w:val="32"/>
        </w:rPr>
      </w:pPr>
      <w:r>
        <w:rPr>
          <w:rFonts w:ascii="Times New Roman"/>
          <w:color w:val="000000"/>
          <w:szCs w:val="32"/>
        </w:rPr>
        <w:t>1.学校进入暴雨特别紧急防御状态，高度关注暴雨最新消息和政府及有关部门发布的防御暴雨通知。</w:t>
      </w:r>
    </w:p>
    <w:p>
      <w:pPr>
        <w:spacing w:line="560" w:lineRule="exact"/>
        <w:ind w:firstLine="672" w:firstLineChars="210"/>
        <w:rPr>
          <w:rFonts w:ascii="Times New Roman"/>
          <w:color w:val="000000"/>
          <w:szCs w:val="32"/>
        </w:rPr>
      </w:pPr>
      <w:r>
        <w:rPr>
          <w:rFonts w:ascii="Times New Roman"/>
          <w:color w:val="000000"/>
          <w:szCs w:val="32"/>
        </w:rPr>
        <w:t>2.6:00～8:00和11:00～13:00暴雨红色预警信号生效时，所在区域的中等职业学校、中小学校、特殊教育学校、幼儿园、托儿所分别上午和下午停课，无需等待教育行政部门的通知。区教育局和各学校应向家长发布停止上学的通知，学生家长应指导学生停止上学。未启程上学的学生、儿童不必到学校、幼儿园上课；上学、放学途中的学生、儿童应当就近到安全场所暂避，或者在安全的情况下回家。已到学校（园）学生、儿童服从学校（园）安排，学校、幼儿园应确保校舍、园区开放，妥善安置在校(含校车上、寄宿)学生，应保障在学校（园） (含校车上、寄宿)学生、儿童的安全，应在确保安全的情况下安排学生、儿童回家。</w:t>
      </w:r>
    </w:p>
    <w:p>
      <w:pPr>
        <w:spacing w:line="560" w:lineRule="exact"/>
        <w:ind w:firstLine="672" w:firstLineChars="210"/>
        <w:rPr>
          <w:rFonts w:ascii="Times New Roman"/>
          <w:color w:val="000000"/>
          <w:szCs w:val="32"/>
        </w:rPr>
      </w:pPr>
      <w:r>
        <w:rPr>
          <w:rFonts w:ascii="Times New Roman"/>
          <w:color w:val="000000"/>
          <w:szCs w:val="32"/>
        </w:rPr>
        <w:t>3.室内人员应立即采取防御措施，关闭和紧固门窗，防止雨水侵入室内。一旦室外积水漫进屋内，应及时切断电源总开关，防止触电伤人。</w:t>
      </w:r>
    </w:p>
    <w:p>
      <w:pPr>
        <w:spacing w:line="560" w:lineRule="exact"/>
        <w:ind w:firstLine="672" w:firstLineChars="210"/>
        <w:rPr>
          <w:rFonts w:ascii="Times New Roman"/>
          <w:color w:val="000000"/>
          <w:szCs w:val="32"/>
        </w:rPr>
      </w:pPr>
      <w:r>
        <w:rPr>
          <w:rFonts w:ascii="Times New Roman"/>
          <w:color w:val="000000"/>
          <w:szCs w:val="32"/>
        </w:rPr>
        <w:t>4.处于低洼易涝区、危房、边坡等可能发生危险区域的人员应立即撤离、转移到安全场所暂避，并切断低洼地带有危险的电源，对低洼地段室外供用电设施采取安全防范措施。</w:t>
      </w:r>
    </w:p>
    <w:p>
      <w:pPr>
        <w:spacing w:line="560" w:lineRule="exact"/>
        <w:ind w:firstLine="672" w:firstLineChars="210"/>
        <w:rPr>
          <w:rFonts w:ascii="Times New Roman"/>
          <w:color w:val="000000"/>
          <w:szCs w:val="32"/>
        </w:rPr>
      </w:pPr>
      <w:r>
        <w:rPr>
          <w:rFonts w:ascii="Times New Roman"/>
          <w:color w:val="000000"/>
          <w:szCs w:val="32"/>
        </w:rPr>
        <w:t>5.室外人员应远离低洼易涝区、危房、边坡、简易工棚、挡土墙、河道水库等可能发生危险的区域；远离架空线路、电杆、斜拉铁线、铁塔和变压器等高压电力设备，及被水浸泡的电箱、电线、路灯及公交站牌等带电设施，远离排水口；避免涉水穿越水浸区域，远离被水浸或裸露的电线，以防触电。</w:t>
      </w:r>
    </w:p>
    <w:p>
      <w:pPr>
        <w:spacing w:line="560" w:lineRule="exact"/>
        <w:ind w:firstLine="672" w:firstLineChars="210"/>
        <w:rPr>
          <w:rFonts w:ascii="Times New Roman"/>
          <w:color w:val="000000"/>
          <w:szCs w:val="32"/>
        </w:rPr>
      </w:pPr>
      <w:r>
        <w:rPr>
          <w:rFonts w:ascii="Times New Roman"/>
          <w:color w:val="000000"/>
          <w:szCs w:val="32"/>
        </w:rPr>
        <w:t>6.正在途中的校车等行驶车辆应绕开积水路段及下沉式立交桥，避免穿越水浸道路，避免将车辆停放在低洼易涝等危险区域，如遇严重水浸等危险情况应立即弃车逃生。</w:t>
      </w:r>
    </w:p>
    <w:p>
      <w:pPr>
        <w:spacing w:line="560" w:lineRule="exact"/>
        <w:ind w:firstLine="672" w:firstLineChars="210"/>
        <w:rPr>
          <w:rFonts w:ascii="Times New Roman"/>
          <w:color w:val="000000"/>
          <w:szCs w:val="32"/>
        </w:rPr>
      </w:pPr>
      <w:r>
        <w:rPr>
          <w:rFonts w:ascii="Times New Roman"/>
          <w:color w:val="000000"/>
          <w:szCs w:val="32"/>
        </w:rPr>
        <w:t>7.区教育局和各学校应严密监视灾情，做好暴雨及其引发的内涝、山洪、滑坡、泥石流等灾害应急抢险救灾工作。</w:t>
      </w:r>
    </w:p>
    <w:p>
      <w:pPr>
        <w:spacing w:line="560" w:lineRule="exact"/>
        <w:ind w:firstLine="640" w:firstLineChars="200"/>
        <w:rPr>
          <w:rFonts w:ascii="Times New Roman"/>
          <w:color w:val="000000"/>
          <w:szCs w:val="32"/>
        </w:rPr>
      </w:pPr>
      <w:r>
        <w:rPr>
          <w:rFonts w:ascii="Times New Roman"/>
          <w:color w:val="000000"/>
          <w:szCs w:val="32"/>
        </w:rPr>
        <w:t>8.暴雨红色预警信号解除或降级至橙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spacing w:line="560" w:lineRule="exact"/>
        <w:rPr>
          <w:rFonts w:ascii="Times New Roman"/>
          <w:b/>
          <w:bCs/>
          <w:color w:val="000000"/>
          <w:szCs w:val="32"/>
        </w:rPr>
      </w:pPr>
    </w:p>
    <w:p>
      <w:pPr>
        <w:spacing w:line="560" w:lineRule="exact"/>
        <w:rPr>
          <w:rFonts w:hint="eastAsia" w:ascii="Times New Roman"/>
          <w:color w:val="000000"/>
        </w:rPr>
      </w:pPr>
    </w:p>
    <w:p>
      <w:pPr>
        <w:spacing w:line="560" w:lineRule="exact"/>
        <w:rPr>
          <w:rFonts w:ascii="Times New Roman"/>
          <w:color w:val="000000"/>
        </w:rPr>
      </w:pPr>
    </w:p>
    <w:p>
      <w:pPr>
        <w:spacing w:line="560" w:lineRule="exact"/>
        <w:rPr>
          <w:rFonts w:ascii="Times New Roman"/>
          <w:color w:val="000000"/>
        </w:rPr>
      </w:pPr>
    </w:p>
    <w:p>
      <w:pPr>
        <w:spacing w:line="560" w:lineRule="exact"/>
        <w:rPr>
          <w:rFonts w:ascii="Times New Roman"/>
          <w:color w:val="000000"/>
        </w:rPr>
      </w:pPr>
    </w:p>
    <w:p>
      <w:pPr>
        <w:spacing w:line="560" w:lineRule="exact"/>
        <w:rPr>
          <w:rFonts w:ascii="Times New Roman"/>
          <w:color w:val="000000"/>
        </w:rPr>
      </w:pPr>
    </w:p>
    <w:p>
      <w:pPr>
        <w:spacing w:line="560" w:lineRule="exact"/>
        <w:rPr>
          <w:rFonts w:ascii="Times New Roman"/>
          <w:color w:val="000000"/>
        </w:rPr>
      </w:pPr>
    </w:p>
    <w:p>
      <w:pPr>
        <w:spacing w:line="560" w:lineRule="exact"/>
        <w:rPr>
          <w:rFonts w:hint="eastAsia" w:ascii="Times New Roman"/>
          <w:color w:val="000000"/>
        </w:rPr>
      </w:pPr>
    </w:p>
    <w:p>
      <w:pPr>
        <w:spacing w:line="560" w:lineRule="exact"/>
        <w:rPr>
          <w:rFonts w:hint="eastAsia" w:ascii="Times New Roman"/>
          <w:color w:val="000000"/>
        </w:rPr>
      </w:pPr>
    </w:p>
    <w:p>
      <w:pPr>
        <w:spacing w:line="560" w:lineRule="exact"/>
        <w:rPr>
          <w:rFonts w:hint="eastAsia" w:ascii="Times New Roman"/>
          <w:color w:val="00000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2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3 -</w:t>
    </w:r>
    <w:r>
      <w:rPr>
        <w:rFonts w:ascii="宋体" w:hAnsi="宋体" w:eastAsia="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280" w:firstLineChars="10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2 -</w:t>
    </w:r>
    <w:r>
      <w:rPr>
        <w:rFonts w:ascii="宋体" w:hAnsi="宋体" w:eastAsia="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2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1 -</w:t>
    </w:r>
    <w:r>
      <w:rPr>
        <w:rFonts w:ascii="宋体" w:hAnsi="宋体" w:eastAsia="宋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D1007"/>
    <w:rsid w:val="4D8D1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2024-01-03T10:40:00Z</dcterms:created>
  <dc:creator>新闻</dc:creator>
  <cp:lastModifiedBy>新闻</cp:lastModifiedBy>
  <dcterms:modified xsi:type="dcterms:W3CDTF">2024-01-03T10:41:18Z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2052-11.8.2.11020</vt:lpwstr>
  </property>
  <property fmtid="{D5CDD505-2E9C-101B-9397-08002B2CF9AE}" pid="3" name="ICV">
    <vt:lpwstr>CF347CAB689445AD9B31E361EB9E9ABE</vt:lpwstr>
  </property>
</Properties>
</file>