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 w:cs="仿宋_GB2312"/>
          <w:color w:val="000000"/>
        </w:rPr>
      </w:pPr>
      <w:r>
        <w:rPr>
          <w:rFonts w:hint="eastAsia" w:eastAsia="黑体"/>
          <w:color w:val="000000"/>
          <w:sz w:val="32"/>
        </w:rPr>
        <w:t>附件1</w:t>
      </w:r>
    </w:p>
    <w:p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广州市卓越中小学校长促进工程培养对象</w:t>
      </w:r>
    </w:p>
    <w:p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期满评价名单</w:t>
      </w:r>
    </w:p>
    <w:p>
      <w:pPr>
        <w:spacing w:line="560" w:lineRule="exact"/>
        <w:rPr>
          <w:rFonts w:eastAsia="仿宋_GB2312"/>
          <w:color w:val="000000"/>
        </w:rPr>
      </w:pPr>
    </w:p>
    <w:tbl>
      <w:tblPr>
        <w:tblStyle w:val="2"/>
        <w:tblW w:w="907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992"/>
        <w:gridCol w:w="1276"/>
        <w:gridCol w:w="4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区域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学段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8"/>
                <w:szCs w:val="28"/>
              </w:rPr>
            </w:pPr>
            <w:r>
              <w:rPr>
                <w:rFonts w:hint="eastAsia" w:eastAsia="黑体" w:cs="宋体"/>
                <w:kern w:val="0"/>
                <w:sz w:val="28"/>
                <w:szCs w:val="28"/>
              </w:rPr>
              <w:t>所在单位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黄锦明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白云区西洲中学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张宝富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白云区同和中学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张文初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白云区金沙中学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苏铁成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广州市第七十三中学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叶镜添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白云区人和第一中学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曹春容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白云区人和第三中学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冯秋明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广州市第七十中学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陈伟权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白云区竹料第一中学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邝柏理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广州市第一一六中学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禤乐钰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广州市广园中学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廖国峰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广州市广园中学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胡灿洲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白云区神山中学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龙惠萍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白云区江村中学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江巨波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白云区江高镇第三初级中学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周浩权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白云区太和中学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周干芬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白云区竹料第三中学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谭家在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广州市第一一五中学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李维东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广州市第一一四中学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杨庚金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白云区颜乐天纪念中学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周华庆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白云区平沙培英学校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张健邦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白云区滘心小学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吴卫东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白云区大朗小学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莫伟长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白云区龙湖小学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李瑞意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白云区人和镇第一小学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钟秀霞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白云区人和镇第二小学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冯焯洪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白云区竹料第一小学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杨祥庆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白云区竹料第五小学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曹坤祥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白云区良田第一小学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越肖英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白云区棠涌小学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黄桂娟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白云区广园小学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黄少萍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白云区萧岗小学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许广成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白云区神山第三小学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伍时灼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白云区神山第二小学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梁宝球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白云区江村小学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白云区谢家庄小学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谭志勇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白云区竹料第四小学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张汉新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白云区大源小学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丘云霞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白云区京溪小学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龙焕刚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白云区东平小学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赖丹丽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白云区石马小学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许顺林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白云区鸦岗小学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黄智贤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白云区沙凤小学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严红兰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白云区石井张村中心小学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杨广权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白云区人和镇第六小学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江裕邦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白云区人和镇蚌湖小学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曾仲成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白云区良田第二小学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张栩鹏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白云区竹料第二小学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冯顺好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白云区钟落潭小学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凌瑞琴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白云区江夏小学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何淑贤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白云区汇侨第一小学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杜帼珊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白云区江夏小学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欧阳伯佳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白云区江高镇中心小学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龙翠闪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白云区江高镇中心小学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黄永松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白云区神山第一小学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张记梅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白云区太和第一小学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管丽花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白云区穗丰小学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谢柏妙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白云区石湖小学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高其庆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白云区罗岗村小学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冯德灿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白云区华师附中实验小学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余丽群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白云区加禾小学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陈振流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黄埔区九佛中学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周忠旺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广州市第一一七中学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陈志明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广州市黄埔职业技术学校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罗丽华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广州市第八十六中学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陈智慧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广州市第一一七中学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黄德慰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黄埔区双沙中学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周志友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广州市玉岩中学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温永平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黄埔区镇龙中学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姜庆新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广州科学城中学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何桂新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黄埔区九佛第二中学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谢海英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广州市第一二三中学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邱绍德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广州开发区中学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李森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广州市黄埔职业技术学校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刘伯文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广州市黄埔军校纪念中学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李大鹏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广州市玉岩中学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黄镇标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黄埔区鱼珠小学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李菲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广州开发区第一小学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陈振华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黄埔区何棠下小学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朱耀华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黄埔区东区小学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黄壬新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黄埔区贤江小学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钟柳珍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黄埔区火村小学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黄金海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黄埔区禾丰小学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练炽明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黄埔区九龙第一小学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郭卫民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黄埔区沙步小学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何秀锦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黄埔区香雪小学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庞敏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黄埔区沧联小学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钟健堂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黄埔区玉树小学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李愫谦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黄埔区汤村小学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赵梅珍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黄埔区新庄小学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周玲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黄埔区科学城小学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黄伯深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黄埔区福洞小学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周俊勇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黄埔区九龙第二小学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杨业斌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黄埔区知明学校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黄埔区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曾伟冰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黄埔区启智学校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曾德焕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花都区狮岭镇冯村初级中学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罗远东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花都区赤坭镇三和庄初级中学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周天勤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花都区赤坭中学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张国权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花都区炭步镇第二初级中学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张汉泉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花都区炭步镇炭步初级中学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江志健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花都区狮岭镇狮峰初级中学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郑少周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花都区秀全街九潭初级中学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任卫兵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花都区新华街培新学校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危可鹏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花都区新雅街嘉行学校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张帆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花都区新华中学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毕锐均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花都区花城街长岗初级中学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雷培水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花都区狮岭中学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毕文钜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花都区狮岭镇芙蓉初级中学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邱建南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花都区花山镇花山初级中学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刘永炽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花都区花东镇北兴初级中学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侯锦森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花都区花东镇联安初级中学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李剑华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花都区赤坭镇三和庄初级中学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黄仕正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花都区新雅街嘉行学校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朱梓英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花都区智能学校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吴晓贞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花都区理工职业技术学校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范天旺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花都区邝维煜纪念中学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龚志河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卢宗杜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利洪忠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花都区秀全中学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王亚元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花都区狮岭中学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王适文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花都区花东中学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刘伟清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花都区花山镇花山初级中学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高秀丽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花都区邝维煜纪念中学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阳宇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花都区花山镇花山初级中学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谢晚霞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花都区狮岭中学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杨永威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花都区花东中学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黄会义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花都区圆玄中学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丘瑞英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花都区理工职业技术学校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谭耀邦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花都区成人教育培训中心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余大生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花都区成人教育培训中心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吕永忠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花都区花山镇花山初级中学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江顺意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花都区教育局教学研究室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贺晓彬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花都区成人教育培训中心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骆美贤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骆仲贤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花都区圆玄中学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常耀根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花都区新华街五华小学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李小玲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花都区新华街第六小学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杨玉英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花都区花城街石岗小学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汤广荣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花都区秀全街红棉小学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胡惠芳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花都区花东镇金谷小学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葛钜燎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花都区花东镇联安小学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王国伙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花都区花东镇大东小学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梁婉红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花都区新华街第三小学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陈镜炼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花都区新华街莲塘小学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许炽林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花都区炭步镇大涡小学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邹仁仕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花都区新雅街广塘小学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任海燕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花都区炭步镇鸭湖小学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宋智勇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花都区花东镇秀塘小学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罗志坤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花都区花东镇九一小学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陈活星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花都区新雅街团结小学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黄广钿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花都区新华街田美小学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梁根南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花都区新雅街清潭小学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潘否儒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花都区花东镇花侨小学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汤燕红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花都区新华街横潭小学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汤伯沂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花都区炭步镇第二小学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高国标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花都区花东镇大塘小学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徐金亨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花都区新华街第七小学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许新健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花都区新华街第二小学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梁栋威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花都区花东镇杨荷小学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何育豪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花都区花山镇养正小学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宋文军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花都区赤坭镇莲塘小学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杨庆照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花都区狮岭镇旗新小学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韩庆雄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花都区教育局狮岭教育指导中心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钟新苟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花都区狮岭镇前进小学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杨瑞国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花都区教育局狮岭教育指导中心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王炽明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花都区赤坭镇乌石小学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黄国驱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花都区花山镇美成小学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卢广成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花都区花山镇儒林小学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朱立坚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花都区梯面镇民安小学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任启文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花都区赤坭镇赤坭小学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高永能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花都区赤坭镇白坭小学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胡红好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花都区狮岭镇振兴第一小学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骆国海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花都区赤坭镇碧湖小学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王文毅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花都区花山镇思明小学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卢钊醒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花都区花东镇杨荷小学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陈海强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花都区梯面镇梯面小学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江文胜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花都区花山镇花城小学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周绍强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花都区赤坭镇华南小学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谭战旗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花都区花山镇和郁小学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陆慧英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花都区狮岭镇合成小学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黄永平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花都区狮岭镇夏山小学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周世洪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花都区赤坭镇剑岭小学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花都区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王树波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花都区花山镇铁山小学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梁鉴波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番禺区象贤中学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黄春燕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杨斌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黄锐华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潘文淦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番禺区市桥象圣中学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廖润欢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番禺区市桥桥城中学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刘惠良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番禺区洛溪新城中学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冼雪玲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番禺区大石中学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林秀颜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番禺区洛浦中学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黄燕飞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番禺区洛浦沙滘中学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肖静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番禺区大石富丽中学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区铭均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番禺区钟村奥园学校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谭雯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广东第二师范学院广州南站附属学校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佟雪梅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番禺区市桥侨联中学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何世杰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番禺区市桥桥兴中学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孔志盛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番禺区石碁第二中学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邓正光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番禺区石碁第三中学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廖庭柱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番禺区石碁中学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赵启章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番禺区石碁中学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邹连文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番禺区香江育才实验学校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何友根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广东番禺中学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朱丽嫦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广东第二师范学院番禺附属中学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彭真健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广东第二师范学院广州南站附属学校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钱剑华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番禺区象贤中学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屈可张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番禺区实验中学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古建泉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郭汉华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李惠华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李腾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番禺区市桥桥兴中学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蔡锦波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番禺区市桥沙头中学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黄福泉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番禺区南村镇侨联中学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彭秀峰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番禺区化龙中学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周锡刚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番禺区石楼中学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曹铭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番禺区大岭学校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潘瑛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番禺区石碁中学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胡兆炽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番禺区石碁第二中学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黎德荣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番禺区石碁第四中学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黄国胜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番禺区石碁第三中学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原刚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广东仲元中学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朱碧容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番禺区天星学校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余大军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番禺区嘉诚学校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曹海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番禺区新君豪中英文学校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唐剑秋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番禺区新英才中英文学校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向宗高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番禺区新英才中英文学校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潘云录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番禺区金华学校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许娟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番禺区明德广地实验学校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潘桂洪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番禺区沙湾镇象骏中学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林焕潮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番禺区香江育才实验学校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黎志华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广东番禺中学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黄志伟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广东第二师范学院番禺附属中学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黎婉萍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番禺区市桥先锋小学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朱曼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番禺区市桥桥东小学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唐滔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番禺区市桥富都小学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关仲华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番禺区市桥西丽小学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黎文敬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番禺区市桥沙墟二小学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麦卫清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番禺区市桥东沙小学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王耀华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番禺区市桥小平小学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谢开平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番禺区市桥螺山小学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黄醒球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番禺区市桥蚬涌俊贤小学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梁举文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番禺区大石河村小学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郭爱冰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番禺区洛浦上漖小学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苏品丽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番禺区洛浦沙溪小学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黎素玲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番禺区洛溪新城小学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李献生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番禺区丽江小学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陈少君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番禺区洛浦中心小学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番禺区钟村中心小学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黄慧琴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番禺区南村镇中心小学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伦松根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番禺区南村镇雅居乐小学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吴远洲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番禺区南村镇汇贤小学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许杰华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广东第二师范学院番禺附属小学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刘晓燕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广州大学附属小学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冼汉南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番禺区石楼镇海鸥学校（小学部）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何艳珍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番禺区沙湾镇京兆小学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韩伯龙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番禺区沙湾镇兴贤小学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郭钊林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番禺区钟村第二小学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郭学敏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番禺区屏山小学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屈曼玲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番禺区化龙镇中心小学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麦志伟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番禺区石楼镇中心小学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周炳坤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番禺区石楼镇南派小学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陈灼英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番禺区石楼镇茭塘小学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肖永基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番禺区石碁镇金山小学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伍国权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番禺区新桥小学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周耀文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番禺区旧水坑小学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罗镜新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番禺区茶东小学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张祖树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番禺区石碁镇文边小学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简少芬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番禺区傍江东小学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朴英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番禺区石岗小学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李荣森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南沙鱼窝头第二中学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刘为民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南沙区岭东职业技术学校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廖维宁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南沙鱼窝头中学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麦巨添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南沙榄核中学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黎继承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南沙珠江中学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王鹏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南沙灵山中学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黄翰栋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南沙万顷沙中学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黄伟强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南沙区新垦学校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朱广亮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南沙潭山中学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黄献文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南沙榄核第二中学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梁志权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南沙潭山中学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麦毅锋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南沙黄阁中学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林灿明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南沙鱼窝头中学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张祥福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南沙大岗中学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高卫波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南沙区新垦学校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樊银娇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南沙区东涌第二小学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冯丽萍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南沙区北斗小学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吴少锋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南沙区大简小学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何景照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南沙区大田小学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梁立健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南沙区万顷沙小学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梁国明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南沙区莲溪小学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梁带基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南沙区万洲小学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高锐波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南沙区官坦小学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吴爱珍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南沙区灵山小学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何建华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南沙区顺平小学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郭铨屏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南沙区金洲小学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李火阳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南沙区高新小学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徐爱兵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南沙区星海小学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冯浩成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南沙区大井小学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冼伟洪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南沙区金业小学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黎少文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南沙区马克小学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黄志华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南沙区石基小学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张淑芬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南沙区大塘小学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陈达明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南沙区鹿颈小学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郭炎基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南沙区庆盛小学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吴志华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南沙区横沥小学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郭锦辉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南沙区庙南小学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邹俊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南沙区南沙小学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黄立新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从化区太平中学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陈桂清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从化区太平第二中学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冯锦洪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从化区棋杆中学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吴炳权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从化区鳌头中学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李剑名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从化区第五中学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邓志远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从化区教育局北片教育指导中心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邓丽西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从化区第七中学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黄鉴流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从化区神岗中学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罗苑怡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从化区灌村中学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沈灶容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从化区河东中学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汤国忠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从化区良口中学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赖可奇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从化区神岗第二中学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巢锋远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从化希贤小学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李垣标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从化区城郊街北星小学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何榕海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从化区鳌头镇车头小学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骆润明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从化区太平镇钱岗八一小学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巢翠玲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从化区太平镇第二中心小学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欧日初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从化区城郊街麻村小学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黎乐秋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从化区江埔街江埔小学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陈吕生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从化区吕田镇第二小学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黎俊英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从化区江埔街联星小学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何柱石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从化区良口镇石明小学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蔡庆华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从化区良口镇善施学校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黄丽芬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从化区流溪小学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沈陆全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从化区吕田镇第三小学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陆冠雄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从化区太平镇中心小学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冯笑兴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从化区太平镇飞鹅小学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谢妙婷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从化区太平镇上塘小学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邱沛兴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从化区鳌头镇中心小学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刘沛光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从化区街口街中心小学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黎素清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从化区温泉镇第二中心小学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黄秋鹏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从化区吕田镇中心小学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吕浩东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从化区城郊街向阳小学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钟树和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增城区新塘镇第二中学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陈伟锋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增城区新塘镇第三中学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曾张桂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增城区新塘镇沙埔中学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姚程润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增城区石滩镇三江第二中学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何文江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增城区新塘镇第二中学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龙德英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增城区新塘镇第三中学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肖结文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增城区石滩镇港侨中学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钟楚标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增城区石滩镇三江第二中学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曾金文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增城区石滩镇三江第二中学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钟锡钊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增城区荔城街荔景中学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赖志斌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增城区运南学校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欧阳宇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增城区增城中学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陈丽玲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增城区荔城中学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刘义龙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姚伯登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增城区运南学校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吴卫权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增城区华侨中学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李先亮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陈满红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增城区荔城街第三中学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陈伯安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增城区荔城街荔景中学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何伟枝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增城区小楼镇长岭麦韵芳小学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罗元双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增城区永宁街镇泰学校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刘明秋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增城区永宁街镇泰学校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陈毅恩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增城区中新镇福和第一小学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关伟辉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增城区中新镇山美刘庆祺学校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钟文波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增城区增江街白湖小学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姚仲仁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增城区正果镇光明小学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朱石房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增城区派潭镇第一小学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宋志龙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增城区派潭镇高滩小学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列绍良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增城区仙村镇蓝山小学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温玉梅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增城区荔城街夏街小学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陈媛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增城区荔城街城丰小学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吴汝丽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增城区荔城街第三小学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徐汝兴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增城区新塘镇新墩小学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刘球辉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增城区新塘镇瑶田小学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刘国洪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增城区新塘镇群星小学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莫艺强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增城区朱村街南岗小学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刘勇威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增城区朱村街龙岗小学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姚婉萍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增城区石滩镇中心小学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肖结传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增城区石滩镇塘头小学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周良真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增城区小楼镇庙潭小学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梁伟坤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增城区永宁街中心小学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卢伟平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增城区永宁街长岗小学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周浩彪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增城区中新镇莲塘小学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陈穗成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增城区中新镇第二小学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李汝成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增城区仙村镇第二小学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郭伟光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增城区仙村镇岳湖小学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董泽伟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增城区增江街白湖小学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盘国辉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增城区正果镇畲族小学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张金胜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增城区派潭镇中心小学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姚秀玲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增城区荔城街致明学校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李婉嘉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增城区荔城街廖村小学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列潮锡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增城区新塘镇西洲小学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黄镇基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增城区新塘镇沙埔小学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刘汝才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增城区石滩镇石厦小学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刘淦林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增城区石滩镇沙头小学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姚旭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增城区石滩镇三江小学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甘艳琪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增城区荔城街第二小学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罗惠玲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增城区荔江小学</w:t>
            </w:r>
          </w:p>
        </w:tc>
      </w:tr>
    </w:tbl>
    <w:p>
      <w:pPr>
        <w:widowControl/>
        <w:spacing w:line="560" w:lineRule="exact"/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附件2</w:t>
      </w:r>
    </w:p>
    <w:p>
      <w:pPr>
        <w:widowControl/>
        <w:spacing w:line="560" w:lineRule="exact"/>
        <w:contextualSpacing/>
        <w:jc w:val="center"/>
        <w:rPr>
          <w:rFonts w:eastAsia="方正小标宋_GBK"/>
          <w:color w:val="000000"/>
          <w:sz w:val="44"/>
          <w:szCs w:val="44"/>
        </w:rPr>
      </w:pPr>
    </w:p>
    <w:p>
      <w:pPr>
        <w:widowControl/>
        <w:spacing w:line="560" w:lineRule="exact"/>
        <w:contextualSpacing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广州市卓越中小学校长促进工程培养对象</w:t>
      </w:r>
    </w:p>
    <w:p>
      <w:pPr>
        <w:widowControl/>
        <w:spacing w:line="560" w:lineRule="exact"/>
        <w:contextualSpacing/>
        <w:jc w:val="center"/>
        <w:rPr>
          <w:rFonts w:eastAsia="仿宋_GB2312"/>
          <w:color w:val="000000"/>
        </w:rPr>
      </w:pPr>
      <w:r>
        <w:rPr>
          <w:rFonts w:hint="eastAsia" w:eastAsia="方正小标宋_GBK"/>
          <w:color w:val="000000"/>
          <w:sz w:val="44"/>
          <w:szCs w:val="44"/>
        </w:rPr>
        <w:t>期满评价流程</w:t>
      </w:r>
    </w:p>
    <w:p>
      <w:pPr>
        <w:widowControl/>
        <w:spacing w:line="560" w:lineRule="exact"/>
        <w:ind w:firstLine="420" w:firstLineChars="200"/>
        <w:contextualSpacing/>
        <w:jc w:val="left"/>
      </w:pPr>
    </w:p>
    <w:p>
      <w:pPr>
        <w:widowControl/>
        <w:spacing w:line="560" w:lineRule="exact"/>
        <w:ind w:firstLine="640" w:firstLineChars="200"/>
        <w:contextualSpacing/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一、培养对象自评环节</w:t>
      </w:r>
    </w:p>
    <w:p>
      <w:pPr>
        <w:widowControl/>
        <w:spacing w:line="560" w:lineRule="exact"/>
        <w:ind w:firstLine="640" w:firstLineChars="200"/>
        <w:contextualSpacing/>
        <w:jc w:val="left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（一）培养对象自行登录市中小学教师继续教育网（以下简称“继教网”），在“学员登录区”输入账号、密码进行登录，点击“其它功能”按钮，在弹出的功能框里找到“期满评价申报”，点击“期满评价申报”即可看到操作指引。</w:t>
      </w:r>
    </w:p>
    <w:p>
      <w:pPr>
        <w:widowControl/>
        <w:spacing w:line="560" w:lineRule="exact"/>
        <w:ind w:firstLine="640" w:firstLineChars="200"/>
        <w:contextualSpacing/>
        <w:jc w:val="left"/>
        <w:rPr>
          <w:rFonts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sz w:val="32"/>
        </w:rPr>
        <w:t>（二）根据</w:t>
      </w:r>
      <w:r>
        <w:rPr>
          <w:rFonts w:hint="eastAsia" w:eastAsia="仿宋_GB2312"/>
          <w:color w:val="000000"/>
          <w:kern w:val="0"/>
          <w:sz w:val="32"/>
        </w:rPr>
        <w:t>“</w:t>
      </w:r>
      <w:r>
        <w:rPr>
          <w:rFonts w:hint="eastAsia" w:eastAsia="仿宋_GB2312"/>
          <w:color w:val="000000"/>
          <w:sz w:val="32"/>
        </w:rPr>
        <w:t>评价</w:t>
      </w:r>
      <w:r>
        <w:rPr>
          <w:rFonts w:eastAsia="仿宋_GB2312"/>
          <w:color w:val="000000"/>
          <w:kern w:val="0"/>
          <w:sz w:val="32"/>
        </w:rPr>
        <w:t>指标</w:t>
      </w:r>
      <w:r>
        <w:rPr>
          <w:rFonts w:hint="eastAsia" w:eastAsia="仿宋_GB2312"/>
          <w:color w:val="000000"/>
          <w:kern w:val="0"/>
          <w:sz w:val="32"/>
        </w:rPr>
        <w:t>”</w:t>
      </w:r>
      <w:r>
        <w:rPr>
          <w:rFonts w:eastAsia="仿宋_GB2312"/>
          <w:color w:val="000000"/>
          <w:kern w:val="0"/>
          <w:sz w:val="32"/>
        </w:rPr>
        <w:t>要求，将每阶段对应要求的学习成果（</w:t>
      </w:r>
      <w:r>
        <w:rPr>
          <w:rFonts w:hint="eastAsia" w:eastAsia="仿宋_GB2312"/>
          <w:color w:val="000000"/>
          <w:sz w:val="32"/>
        </w:rPr>
        <w:t>评价</w:t>
      </w:r>
      <w:r>
        <w:rPr>
          <w:rFonts w:eastAsia="仿宋_GB2312"/>
          <w:color w:val="000000"/>
          <w:kern w:val="0"/>
          <w:sz w:val="32"/>
        </w:rPr>
        <w:t>指标1-4</w:t>
      </w:r>
      <w:r>
        <w:rPr>
          <w:rFonts w:hint="eastAsia" w:eastAsia="仿宋_GB2312"/>
          <w:color w:val="000000"/>
          <w:kern w:val="0"/>
          <w:sz w:val="32"/>
        </w:rPr>
        <w:t>），包括个人现状分析报告、所在学校现状分析报告、调研考察报告、跟岗学习报告、学校整体或专项发展方案和学校管理类论文共6份材料，及指标</w:t>
      </w:r>
      <w:r>
        <w:rPr>
          <w:rFonts w:eastAsia="仿宋_GB2312"/>
          <w:color w:val="000000"/>
          <w:kern w:val="0"/>
          <w:sz w:val="32"/>
        </w:rPr>
        <w:t>5</w:t>
      </w:r>
      <w:r>
        <w:rPr>
          <w:rFonts w:hint="eastAsia" w:eastAsia="仿宋_GB2312"/>
          <w:color w:val="000000"/>
          <w:kern w:val="0"/>
          <w:sz w:val="32"/>
        </w:rPr>
        <w:t>的佐证材料上传至“</w:t>
      </w:r>
      <w:r>
        <w:rPr>
          <w:rFonts w:eastAsia="仿宋_GB2312"/>
          <w:color w:val="000000"/>
          <w:kern w:val="0"/>
          <w:sz w:val="32"/>
        </w:rPr>
        <w:t>继教网</w:t>
      </w:r>
      <w:r>
        <w:rPr>
          <w:rFonts w:hint="eastAsia" w:eastAsia="仿宋_GB2312"/>
          <w:color w:val="000000"/>
          <w:kern w:val="0"/>
          <w:sz w:val="32"/>
        </w:rPr>
        <w:t>”。</w:t>
      </w:r>
    </w:p>
    <w:p>
      <w:pPr>
        <w:widowControl/>
        <w:spacing w:line="560" w:lineRule="exact"/>
        <w:ind w:firstLine="640" w:firstLineChars="200"/>
        <w:contextualSpacing/>
        <w:jc w:val="left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（三）完成自评后，在平台下载打印填写完整的《广州市卓越中小学校长促进工程培养对象培养期满评价登记表》，签名并扫描自评分、签名页上传至“继教网”。</w:t>
      </w:r>
    </w:p>
    <w:p>
      <w:pPr>
        <w:widowControl/>
        <w:spacing w:line="560" w:lineRule="exact"/>
        <w:ind w:firstLine="640" w:firstLineChars="200"/>
        <w:contextualSpacing/>
        <w:jc w:val="left"/>
        <w:rPr>
          <w:rFonts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sz w:val="32"/>
        </w:rPr>
        <w:t>（四）将已签名的《广州市卓越中小学校长促进工程培养对象培养期满评价登记表》原件一式四份送区教育局。</w:t>
      </w:r>
    </w:p>
    <w:p>
      <w:pPr>
        <w:widowControl/>
        <w:spacing w:line="560" w:lineRule="exact"/>
        <w:ind w:firstLine="627" w:firstLineChars="196"/>
        <w:contextualSpacing/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二、区教育局评价环节</w:t>
      </w:r>
    </w:p>
    <w:p>
      <w:pPr>
        <w:widowControl/>
        <w:spacing w:line="560" w:lineRule="exact"/>
        <w:ind w:firstLine="640" w:firstLineChars="200"/>
        <w:contextualSpacing/>
        <w:jc w:val="left"/>
        <w:rPr>
          <w:rFonts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sz w:val="32"/>
        </w:rPr>
        <w:t>（一）</w:t>
      </w:r>
      <w:r>
        <w:rPr>
          <w:rFonts w:hint="eastAsia" w:eastAsia="仿宋_GB2312"/>
          <w:color w:val="000000"/>
          <w:kern w:val="0"/>
          <w:sz w:val="32"/>
        </w:rPr>
        <w:t>区教育局成立工作小组，根据本区实际情况，可采取问卷、访谈等形式，结合各区学校评估等情况，制定本区内对</w:t>
      </w:r>
      <w:r>
        <w:rPr>
          <w:rFonts w:hint="eastAsia" w:eastAsia="仿宋_GB2312"/>
          <w:color w:val="000000"/>
          <w:sz w:val="32"/>
        </w:rPr>
        <w:t>评价</w:t>
      </w:r>
      <w:r>
        <w:rPr>
          <w:rFonts w:hint="eastAsia" w:eastAsia="仿宋_GB2312"/>
          <w:color w:val="000000"/>
          <w:kern w:val="0"/>
          <w:sz w:val="32"/>
        </w:rPr>
        <w:t>学员的期满</w:t>
      </w:r>
      <w:r>
        <w:rPr>
          <w:rFonts w:hint="eastAsia" w:eastAsia="仿宋_GB2312"/>
          <w:color w:val="000000"/>
          <w:sz w:val="32"/>
        </w:rPr>
        <w:t>评价</w:t>
      </w:r>
      <w:r>
        <w:rPr>
          <w:rFonts w:hint="eastAsia" w:eastAsia="仿宋_GB2312"/>
          <w:color w:val="000000"/>
          <w:kern w:val="0"/>
          <w:sz w:val="32"/>
        </w:rPr>
        <w:t>具体方案。</w:t>
      </w:r>
    </w:p>
    <w:p>
      <w:pPr>
        <w:widowControl/>
        <w:spacing w:line="560" w:lineRule="exact"/>
        <w:ind w:firstLine="640" w:firstLineChars="200"/>
        <w:contextualSpacing/>
        <w:jc w:val="left"/>
        <w:rPr>
          <w:rFonts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（二）各区根据本区期满</w:t>
      </w:r>
      <w:r>
        <w:rPr>
          <w:rFonts w:hint="eastAsia" w:eastAsia="仿宋_GB2312"/>
          <w:color w:val="000000"/>
          <w:sz w:val="32"/>
        </w:rPr>
        <w:t>评价</w:t>
      </w:r>
      <w:r>
        <w:rPr>
          <w:rFonts w:hint="eastAsia" w:eastAsia="仿宋_GB2312"/>
          <w:color w:val="000000"/>
          <w:kern w:val="0"/>
          <w:sz w:val="32"/>
        </w:rPr>
        <w:t>方案组织</w:t>
      </w:r>
      <w:r>
        <w:rPr>
          <w:rFonts w:hint="eastAsia" w:eastAsia="仿宋_GB2312"/>
          <w:color w:val="000000"/>
          <w:sz w:val="32"/>
        </w:rPr>
        <w:t>评价</w:t>
      </w:r>
      <w:r>
        <w:rPr>
          <w:rFonts w:hint="eastAsia" w:eastAsia="仿宋_GB2312"/>
          <w:color w:val="000000"/>
          <w:kern w:val="0"/>
          <w:sz w:val="32"/>
        </w:rPr>
        <w:t>，在“</w:t>
      </w:r>
      <w:r>
        <w:rPr>
          <w:rFonts w:eastAsia="仿宋_GB2312"/>
          <w:color w:val="000000"/>
          <w:kern w:val="0"/>
          <w:sz w:val="32"/>
        </w:rPr>
        <w:t>继教网</w:t>
      </w:r>
      <w:r>
        <w:rPr>
          <w:rFonts w:hint="eastAsia" w:eastAsia="仿宋_GB2312"/>
          <w:color w:val="000000"/>
          <w:kern w:val="0"/>
          <w:sz w:val="32"/>
        </w:rPr>
        <w:t>”</w:t>
      </w:r>
      <w:r>
        <w:rPr>
          <w:rFonts w:eastAsia="仿宋_GB2312"/>
          <w:color w:val="000000"/>
          <w:kern w:val="0"/>
          <w:sz w:val="32"/>
        </w:rPr>
        <w:t>填写</w:t>
      </w:r>
      <w:r>
        <w:rPr>
          <w:rFonts w:hint="eastAsia" w:eastAsia="仿宋_GB2312"/>
          <w:color w:val="000000"/>
          <w:kern w:val="0"/>
          <w:sz w:val="32"/>
        </w:rPr>
        <w:t>对学员</w:t>
      </w:r>
      <w:r>
        <w:rPr>
          <w:rFonts w:hint="eastAsia" w:eastAsia="仿宋_GB2312"/>
          <w:color w:val="000000"/>
          <w:sz w:val="32"/>
        </w:rPr>
        <w:t>评价</w:t>
      </w:r>
      <w:r>
        <w:rPr>
          <w:rFonts w:hint="eastAsia" w:eastAsia="仿宋_GB2312"/>
          <w:color w:val="000000"/>
          <w:kern w:val="0"/>
          <w:sz w:val="32"/>
        </w:rPr>
        <w:t>指标</w:t>
      </w:r>
      <w:r>
        <w:rPr>
          <w:rFonts w:eastAsia="仿宋_GB2312"/>
          <w:color w:val="000000"/>
          <w:kern w:val="0"/>
          <w:sz w:val="32"/>
        </w:rPr>
        <w:t>5</w:t>
      </w:r>
      <w:r>
        <w:rPr>
          <w:rFonts w:hint="eastAsia" w:eastAsia="仿宋_GB2312"/>
          <w:color w:val="000000"/>
          <w:kern w:val="0"/>
          <w:sz w:val="32"/>
        </w:rPr>
        <w:t>的评分和</w:t>
      </w:r>
      <w:r>
        <w:rPr>
          <w:rFonts w:hint="eastAsia" w:eastAsia="仿宋_GB2312"/>
          <w:color w:val="000000"/>
          <w:sz w:val="32"/>
        </w:rPr>
        <w:t>评价</w:t>
      </w:r>
      <w:r>
        <w:rPr>
          <w:rFonts w:hint="eastAsia" w:eastAsia="仿宋_GB2312"/>
          <w:color w:val="000000"/>
          <w:kern w:val="0"/>
          <w:sz w:val="32"/>
        </w:rPr>
        <w:t>意见。</w:t>
      </w:r>
    </w:p>
    <w:p>
      <w:pPr>
        <w:widowControl/>
        <w:spacing w:line="560" w:lineRule="exact"/>
        <w:ind w:firstLine="640" w:firstLineChars="200"/>
        <w:contextualSpacing/>
        <w:jc w:val="left"/>
        <w:rPr>
          <w:rFonts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（三）</w:t>
      </w:r>
      <w:r>
        <w:rPr>
          <w:rFonts w:hint="eastAsia" w:eastAsia="仿宋_GB2312"/>
          <w:color w:val="000000"/>
          <w:sz w:val="32"/>
        </w:rPr>
        <w:t>下载填写完评分和评价意见的《广州市卓越中小学校长促进工程培养对象培养期满评价登记表》</w:t>
      </w:r>
      <w:r>
        <w:rPr>
          <w:rFonts w:hint="eastAsia" w:eastAsia="仿宋_GB2312"/>
          <w:color w:val="000000"/>
          <w:kern w:val="0"/>
          <w:sz w:val="32"/>
        </w:rPr>
        <w:t>，加盖区教育局公章，扫描评分、公章页上传至“</w:t>
      </w:r>
      <w:r>
        <w:rPr>
          <w:rFonts w:eastAsia="仿宋_GB2312"/>
          <w:color w:val="000000"/>
          <w:kern w:val="0"/>
          <w:sz w:val="32"/>
        </w:rPr>
        <w:t>继教网</w:t>
      </w:r>
      <w:r>
        <w:rPr>
          <w:rFonts w:hint="eastAsia" w:eastAsia="仿宋_GB2312"/>
          <w:color w:val="000000"/>
          <w:kern w:val="0"/>
          <w:sz w:val="32"/>
        </w:rPr>
        <w:t>”。</w:t>
      </w:r>
    </w:p>
    <w:p>
      <w:pPr>
        <w:widowControl/>
        <w:spacing w:line="560" w:lineRule="exact"/>
        <w:ind w:firstLine="640" w:firstLineChars="200"/>
        <w:contextualSpacing/>
        <w:jc w:val="left"/>
        <w:rPr>
          <w:rFonts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（四）将加盖区教育局公章的学员原件和区教育局意见原件装订后，一式四份提交给培养机构。</w:t>
      </w:r>
    </w:p>
    <w:p>
      <w:pPr>
        <w:widowControl/>
        <w:spacing w:line="560" w:lineRule="exact"/>
        <w:jc w:val="left"/>
        <w:rPr>
          <w:rFonts w:eastAsia="黑体"/>
          <w:color w:val="000000"/>
          <w:sz w:val="32"/>
        </w:rPr>
        <w:sectPr>
          <w:pgSz w:w="11907" w:h="16840"/>
          <w:pgMar w:top="2098" w:right="1474" w:bottom="1985" w:left="1588" w:header="851" w:footer="964" w:gutter="0"/>
          <w:cols w:space="720" w:num="1"/>
          <w:titlePg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附件3</w:t>
      </w:r>
    </w:p>
    <w:p>
      <w:pPr>
        <w:widowControl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各区教育局及培养机构</w:t>
      </w:r>
      <w:r>
        <w:rPr>
          <w:rFonts w:hint="eastAsia" w:eastAsia="方正小标宋_GBK"/>
          <w:color w:val="000000"/>
          <w:sz w:val="44"/>
          <w:szCs w:val="44"/>
        </w:rPr>
        <w:t>联络表</w:t>
      </w:r>
    </w:p>
    <w:p>
      <w:pPr>
        <w:spacing w:line="560" w:lineRule="exact"/>
      </w:pPr>
    </w:p>
    <w:tbl>
      <w:tblPr>
        <w:tblStyle w:val="2"/>
        <w:tblW w:w="133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"/>
        <w:gridCol w:w="1695"/>
        <w:gridCol w:w="6"/>
        <w:gridCol w:w="1984"/>
        <w:gridCol w:w="2970"/>
        <w:gridCol w:w="7"/>
        <w:gridCol w:w="2673"/>
        <w:gridCol w:w="24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</w:rPr>
              <w:t>区域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</w:rPr>
              <w:t>区教育局 联系人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</w:rPr>
              <w:t>培养机构</w:t>
            </w:r>
          </w:p>
        </w:tc>
        <w:tc>
          <w:tcPr>
            <w:tcW w:w="2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</w:rPr>
              <w:t>培养机构</w:t>
            </w:r>
          </w:p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</w:rPr>
              <w:t>联系人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 w:cs="宋体"/>
                <w:color w:val="000000"/>
                <w:kern w:val="0"/>
                <w:sz w:val="28"/>
              </w:rPr>
            </w:pPr>
            <w:r>
              <w:rPr>
                <w:rFonts w:hint="eastAsia" w:eastAsia="黑体" w:cs="宋体"/>
                <w:color w:val="000000"/>
                <w:kern w:val="0"/>
                <w:sz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钟筠华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86371568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广州大学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 xml:space="preserve">郑 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媛（中学）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13632308497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钟伟蓝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82630055</w:t>
            </w:r>
          </w:p>
        </w:tc>
        <w:tc>
          <w:tcPr>
            <w:tcW w:w="2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陈梅凤（小学）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13342884998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番禺区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李巧儿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/>
                <w:kern w:val="0"/>
                <w:sz w:val="28"/>
                <w:szCs w:val="28"/>
              </w:rPr>
              <w:t>84888438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广东第二师范学院</w:t>
            </w:r>
          </w:p>
        </w:tc>
        <w:tc>
          <w:tcPr>
            <w:tcW w:w="26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湛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>伟施</w:t>
            </w:r>
          </w:p>
        </w:tc>
        <w:tc>
          <w:tcPr>
            <w:tcW w:w="24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color w:val="000000"/>
                <w:kern w:val="0"/>
                <w:sz w:val="28"/>
                <w:szCs w:val="28"/>
              </w:rPr>
              <w:t>15989281031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黄碧霞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/>
                <w:kern w:val="0"/>
                <w:sz w:val="28"/>
                <w:szCs w:val="28"/>
              </w:rPr>
              <w:t>34683551</w:t>
            </w:r>
          </w:p>
        </w:tc>
        <w:tc>
          <w:tcPr>
            <w:tcW w:w="2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从化区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杨志林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87935143</w:t>
            </w:r>
          </w:p>
        </w:tc>
        <w:tc>
          <w:tcPr>
            <w:tcW w:w="29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黄埔区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 xml:space="preserve">陈 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镔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/>
                <w:kern w:val="0"/>
                <w:sz w:val="28"/>
                <w:szCs w:val="28"/>
              </w:rPr>
              <w:t>61877382</w:t>
            </w:r>
          </w:p>
        </w:tc>
        <w:tc>
          <w:tcPr>
            <w:tcW w:w="297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华南师范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268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钟罗金</w:t>
            </w:r>
          </w:p>
        </w:tc>
        <w:tc>
          <w:tcPr>
            <w:tcW w:w="243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color w:val="000000"/>
                <w:kern w:val="0"/>
                <w:sz w:val="28"/>
                <w:szCs w:val="28"/>
              </w:rPr>
              <w:t>15989072069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1710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邓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>菲菲</w:t>
            </w:r>
          </w:p>
        </w:tc>
        <w:tc>
          <w:tcPr>
            <w:tcW w:w="1990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86832576</w:t>
            </w:r>
          </w:p>
        </w:tc>
        <w:tc>
          <w:tcPr>
            <w:tcW w:w="2970" w:type="dxa"/>
            <w:vMerge w:val="continue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0" w:type="dxa"/>
            <w:vMerge w:val="continue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C7A49"/>
    <w:rsid w:val="3B4C7A49"/>
    <w:rsid w:val="61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2019-04-17T02:39:00Z</dcterms:created>
  <dc:creator>黄建兴</dc:creator>
  <cp:lastModifiedBy>黄建兴</cp:lastModifiedBy>
  <dcterms:modified xsi:type="dcterms:W3CDTF">2019-04-17T02:40:44Z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